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11A58">
      <w:pPr>
        <w:widowControl/>
        <w:spacing w:line="360" w:lineRule="auto"/>
        <w:jc w:val="center"/>
        <w:rPr>
          <w:rFonts w:ascii="宋体" w:hAnsi="宋体" w:cs="宋体"/>
          <w:b/>
          <w:bCs/>
          <w:sz w:val="36"/>
          <w:szCs w:val="36"/>
        </w:rPr>
      </w:pPr>
      <w:bookmarkStart w:id="1" w:name="_GoBack"/>
      <w:r>
        <w:rPr>
          <w:rFonts w:hint="eastAsia" w:ascii="宋体" w:hAnsi="宋体" w:cs="宋体"/>
          <w:b/>
          <w:bCs/>
          <w:sz w:val="36"/>
          <w:szCs w:val="36"/>
        </w:rPr>
        <w:t>危险废物物联智能终端建设项目</w:t>
      </w:r>
    </w:p>
    <w:p w14:paraId="58524199">
      <w:pPr>
        <w:widowControl/>
        <w:spacing w:line="360" w:lineRule="auto"/>
        <w:jc w:val="center"/>
        <w:rPr>
          <w:rFonts w:ascii="宋体" w:hAnsi="宋体" w:cs="宋体"/>
          <w:b/>
          <w:bCs/>
          <w:sz w:val="36"/>
          <w:szCs w:val="36"/>
        </w:rPr>
      </w:pPr>
      <w:r>
        <w:rPr>
          <w:rFonts w:hint="eastAsia" w:ascii="宋体" w:hAnsi="宋体" w:cs="宋体"/>
          <w:b/>
          <w:bCs/>
          <w:sz w:val="36"/>
          <w:szCs w:val="36"/>
        </w:rPr>
        <w:t>服务合同</w:t>
      </w:r>
    </w:p>
    <w:p w14:paraId="790EA298">
      <w:pPr>
        <w:widowControl/>
        <w:spacing w:line="360" w:lineRule="auto"/>
        <w:jc w:val="center"/>
        <w:rPr>
          <w:rFonts w:ascii="宋体" w:hAnsi="宋体" w:cs="宋体"/>
          <w:kern w:val="0"/>
          <w:sz w:val="24"/>
          <w:szCs w:val="24"/>
          <w:shd w:val="pct10" w:color="auto" w:fill="FFFFFF"/>
        </w:rPr>
      </w:pPr>
      <w:r>
        <w:rPr>
          <w:rFonts w:hint="eastAsia" w:ascii="宋体" w:hAnsi="宋体" w:cs="宋体"/>
          <w:b/>
          <w:bCs/>
          <w:sz w:val="24"/>
          <w:szCs w:val="24"/>
        </w:rPr>
        <w:t xml:space="preserve">                          合同编号:</w:t>
      </w:r>
    </w:p>
    <w:p w14:paraId="388F8D7A">
      <w:pPr>
        <w:spacing w:line="360" w:lineRule="auto"/>
        <w:jc w:val="left"/>
        <w:rPr>
          <w:rFonts w:ascii="宋体" w:hAnsi="宋体" w:cs="宋体"/>
          <w:b/>
          <w:bCs/>
          <w:kern w:val="0"/>
          <w:sz w:val="24"/>
          <w:szCs w:val="24"/>
        </w:rPr>
      </w:pPr>
      <w:r>
        <w:rPr>
          <w:rFonts w:hint="eastAsia" w:ascii="宋体" w:hAnsi="宋体" w:cs="宋体"/>
          <w:b/>
          <w:bCs/>
          <w:kern w:val="0"/>
          <w:sz w:val="24"/>
          <w:szCs w:val="24"/>
        </w:rPr>
        <w:t>甲方（买方）：</w:t>
      </w:r>
      <w:r>
        <w:rPr>
          <w:rFonts w:hint="eastAsia" w:ascii="宋体" w:hAnsi="宋体" w:cs="宋体"/>
          <w:b/>
          <w:bCs/>
          <w:kern w:val="0"/>
          <w:sz w:val="24"/>
          <w:szCs w:val="24"/>
          <w:u w:val="single"/>
        </w:rPr>
        <w:t xml:space="preserve">  XX公司    </w:t>
      </w:r>
      <w:r>
        <w:rPr>
          <w:rFonts w:ascii="宋体" w:hAnsi="宋体" w:cs="宋体"/>
          <w:b/>
          <w:bCs/>
          <w:kern w:val="0"/>
          <w:sz w:val="24"/>
          <w:szCs w:val="24"/>
          <w:u w:val="single"/>
        </w:rPr>
        <w:t xml:space="preserve"> </w:t>
      </w:r>
      <w:r>
        <w:rPr>
          <w:rFonts w:hint="eastAsia" w:ascii="宋体" w:hAnsi="宋体" w:cs="宋体"/>
          <w:b/>
          <w:bCs/>
          <w:kern w:val="0"/>
          <w:sz w:val="24"/>
          <w:szCs w:val="24"/>
          <w:u w:val="single"/>
        </w:rPr>
        <w:t xml:space="preserve">  </w:t>
      </w:r>
    </w:p>
    <w:p w14:paraId="2CD9F12D">
      <w:pPr>
        <w:spacing w:line="360" w:lineRule="auto"/>
        <w:jc w:val="left"/>
        <w:rPr>
          <w:rFonts w:ascii="宋体" w:hAnsi="宋体" w:cs="宋体"/>
          <w:b/>
          <w:bCs/>
          <w:kern w:val="0"/>
          <w:sz w:val="24"/>
          <w:szCs w:val="24"/>
        </w:rPr>
      </w:pPr>
      <w:r>
        <w:rPr>
          <w:rFonts w:hint="eastAsia" w:ascii="宋体" w:hAnsi="宋体" w:cs="宋体"/>
          <w:b/>
          <w:bCs/>
          <w:kern w:val="0"/>
          <w:sz w:val="24"/>
          <w:szCs w:val="24"/>
        </w:rPr>
        <w:t>乙方（卖方）：</w:t>
      </w:r>
      <w:r>
        <w:rPr>
          <w:rFonts w:hint="eastAsia" w:ascii="宋体" w:hAnsi="宋体" w:cs="宋体"/>
          <w:b/>
          <w:bCs/>
          <w:kern w:val="0"/>
          <w:sz w:val="24"/>
          <w:szCs w:val="24"/>
          <w:u w:val="single"/>
        </w:rPr>
        <w:t xml:space="preserve">  XX公司公司   </w:t>
      </w:r>
    </w:p>
    <w:p w14:paraId="149BE7F1">
      <w:pPr>
        <w:spacing w:line="360" w:lineRule="auto"/>
        <w:jc w:val="left"/>
        <w:rPr>
          <w:rFonts w:ascii="宋体" w:hAnsi="宋体" w:cs="宋体"/>
          <w:kern w:val="0"/>
          <w:sz w:val="24"/>
          <w:szCs w:val="24"/>
        </w:rPr>
      </w:pPr>
    </w:p>
    <w:p w14:paraId="0BBBB756">
      <w:pPr>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甲、乙双方根据《中华人民共和国民法典》等有关法律规定，在平等、自愿的基础上，经充分协商，就产品销售与服务达成以下合同条款。</w:t>
      </w:r>
    </w:p>
    <w:p w14:paraId="528351DB">
      <w:pPr>
        <w:pStyle w:val="4"/>
        <w:numPr>
          <w:ilvl w:val="1"/>
          <w:numId w:val="0"/>
        </w:numPr>
      </w:pPr>
      <w:r>
        <w:rPr>
          <w:rFonts w:hint="eastAsia"/>
        </w:rPr>
        <w:t>一、项目销售内容</w:t>
      </w:r>
    </w:p>
    <w:p w14:paraId="61B7280E">
      <w:pPr>
        <w:spacing w:line="360" w:lineRule="auto"/>
        <w:ind w:firstLine="482" w:firstLineChars="200"/>
        <w:jc w:val="left"/>
        <w:rPr>
          <w:rFonts w:ascii="宋体" w:hAnsi="宋体" w:cs="宋体"/>
          <w:sz w:val="24"/>
          <w:szCs w:val="24"/>
        </w:rPr>
      </w:pPr>
      <w:r>
        <w:rPr>
          <w:rFonts w:hint="eastAsia" w:ascii="宋体" w:hAnsi="宋体" w:cs="宋体"/>
          <w:b/>
          <w:bCs/>
          <w:sz w:val="24"/>
          <w:szCs w:val="24"/>
        </w:rPr>
        <w:t>1</w:t>
      </w:r>
      <w:r>
        <w:rPr>
          <w:rFonts w:hint="eastAsia" w:ascii="宋体" w:hAnsi="宋体" w:cs="宋体"/>
          <w:sz w:val="24"/>
          <w:szCs w:val="24"/>
        </w:rPr>
        <w:t>、福海创（PTA）</w:t>
      </w:r>
      <w:r>
        <w:rPr>
          <w:rFonts w:hint="eastAsia" w:ascii="宋体" w:hAnsi="宋体" w:cs="宋体"/>
          <w:b/>
          <w:bCs/>
          <w:sz w:val="24"/>
          <w:szCs w:val="24"/>
        </w:rPr>
        <w:t>产品清单</w:t>
      </w:r>
      <w:r>
        <w:rPr>
          <w:rFonts w:hint="eastAsia" w:ascii="宋体" w:hAnsi="宋体" w:cs="宋体"/>
          <w:sz w:val="24"/>
          <w:szCs w:val="24"/>
        </w:rPr>
        <w:t>：</w:t>
      </w:r>
    </w:p>
    <w:tbl>
      <w:tblPr>
        <w:tblStyle w:val="23"/>
        <w:tblW w:w="5320" w:type="pct"/>
        <w:tblInd w:w="0" w:type="dxa"/>
        <w:tblLayout w:type="autofit"/>
        <w:tblCellMar>
          <w:top w:w="0" w:type="dxa"/>
          <w:left w:w="108" w:type="dxa"/>
          <w:bottom w:w="0" w:type="dxa"/>
          <w:right w:w="108" w:type="dxa"/>
        </w:tblCellMar>
      </w:tblPr>
      <w:tblGrid>
        <w:gridCol w:w="416"/>
        <w:gridCol w:w="3289"/>
        <w:gridCol w:w="1889"/>
        <w:gridCol w:w="1054"/>
        <w:gridCol w:w="1046"/>
        <w:gridCol w:w="1075"/>
        <w:gridCol w:w="751"/>
      </w:tblGrid>
      <w:tr w14:paraId="17C01C87">
        <w:tblPrEx>
          <w:tblCellMar>
            <w:top w:w="0" w:type="dxa"/>
            <w:left w:w="108" w:type="dxa"/>
            <w:bottom w:w="0" w:type="dxa"/>
            <w:right w:w="108" w:type="dxa"/>
          </w:tblCellMar>
        </w:tblPrEx>
        <w:trPr>
          <w:trHeight w:val="67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12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序号</w:t>
            </w:r>
          </w:p>
        </w:tc>
        <w:tc>
          <w:tcPr>
            <w:tcW w:w="1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9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产品名称</w:t>
            </w:r>
          </w:p>
        </w:tc>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304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型号</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9F8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数量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（套/台）</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83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单价       （元/套）</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0D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小计   （元）</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FD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备注</w:t>
            </w:r>
          </w:p>
        </w:tc>
      </w:tr>
      <w:tr w14:paraId="5C381C33">
        <w:tblPrEx>
          <w:tblCellMar>
            <w:top w:w="0" w:type="dxa"/>
            <w:left w:w="108" w:type="dxa"/>
            <w:bottom w:w="0" w:type="dxa"/>
            <w:right w:w="108" w:type="dxa"/>
          </w:tblCellMar>
        </w:tblPrEx>
        <w:trPr>
          <w:trHeight w:val="531" w:hRule="atLeast"/>
        </w:trPr>
        <w:tc>
          <w:tcPr>
            <w:tcW w:w="218" w:type="pct"/>
            <w:tcBorders>
              <w:top w:val="nil"/>
              <w:left w:val="single" w:color="000000" w:sz="4" w:space="0"/>
              <w:bottom w:val="single" w:color="000000" w:sz="4" w:space="0"/>
              <w:right w:val="single" w:color="000000" w:sz="4" w:space="0"/>
            </w:tcBorders>
            <w:shd w:val="clear" w:color="auto" w:fill="auto"/>
            <w:vAlign w:val="center"/>
          </w:tcPr>
          <w:p w14:paraId="3D397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1727" w:type="pct"/>
            <w:tcBorders>
              <w:top w:val="nil"/>
              <w:left w:val="single" w:color="000000" w:sz="4" w:space="0"/>
              <w:bottom w:val="single" w:color="000000" w:sz="4" w:space="0"/>
              <w:right w:val="single" w:color="000000" w:sz="4" w:space="0"/>
            </w:tcBorders>
            <w:shd w:val="clear" w:color="auto" w:fill="auto"/>
            <w:vAlign w:val="center"/>
          </w:tcPr>
          <w:p w14:paraId="169C6286">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危废物联智能终端立式一体机</w:t>
            </w:r>
            <w:r>
              <w:rPr>
                <w:rFonts w:hint="eastAsia" w:ascii="宋体" w:hAnsi="宋体" w:cs="宋体"/>
                <w:color w:val="000000"/>
                <w:kern w:val="0"/>
                <w:sz w:val="20"/>
                <w:szCs w:val="20"/>
              </w:rPr>
              <w:t>（内置全尺寸危废标签打印机、配无线红外扫码枪、物联网卡等全套设备）</w:t>
            </w:r>
          </w:p>
        </w:tc>
        <w:tc>
          <w:tcPr>
            <w:tcW w:w="992" w:type="pct"/>
            <w:tcBorders>
              <w:top w:val="nil"/>
              <w:left w:val="single" w:color="000000" w:sz="4" w:space="0"/>
              <w:bottom w:val="single" w:color="000000" w:sz="4" w:space="0"/>
              <w:right w:val="single" w:color="000000" w:sz="4" w:space="0"/>
            </w:tcBorders>
            <w:shd w:val="clear" w:color="auto" w:fill="auto"/>
            <w:vAlign w:val="center"/>
          </w:tcPr>
          <w:p w14:paraId="1A643F54">
            <w:pPr>
              <w:widowControl/>
              <w:jc w:val="center"/>
              <w:textAlignment w:val="center"/>
              <w:rPr>
                <w:rFonts w:ascii="宋体" w:hAnsi="宋体" w:cs="宋体"/>
                <w:color w:val="000000"/>
                <w:sz w:val="20"/>
                <w:szCs w:val="20"/>
              </w:rPr>
            </w:pPr>
          </w:p>
        </w:tc>
        <w:tc>
          <w:tcPr>
            <w:tcW w:w="553" w:type="pct"/>
            <w:tcBorders>
              <w:top w:val="nil"/>
              <w:left w:val="single" w:color="000000" w:sz="4" w:space="0"/>
              <w:bottom w:val="single" w:color="000000" w:sz="4" w:space="0"/>
              <w:right w:val="single" w:color="000000" w:sz="4" w:space="0"/>
            </w:tcBorders>
            <w:shd w:val="clear" w:color="auto" w:fill="auto"/>
            <w:vAlign w:val="center"/>
          </w:tcPr>
          <w:p w14:paraId="5582C4AA">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B68C">
            <w:pPr>
              <w:widowControl/>
              <w:jc w:val="center"/>
              <w:textAlignment w:val="center"/>
              <w:rPr>
                <w:rFonts w:ascii="宋体" w:hAnsi="宋体" w:cs="宋体"/>
                <w:color w:val="000000"/>
                <w:sz w:val="20"/>
                <w:szCs w:val="20"/>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A9B1">
            <w:pPr>
              <w:widowControl/>
              <w:jc w:val="center"/>
              <w:textAlignment w:val="center"/>
              <w:rPr>
                <w:rFonts w:ascii="宋体" w:hAnsi="宋体" w:cs="宋体"/>
                <w:color w:val="000000"/>
                <w:sz w:val="20"/>
                <w:szCs w:val="20"/>
              </w:rPr>
            </w:pPr>
          </w:p>
        </w:tc>
        <w:tc>
          <w:tcPr>
            <w:tcW w:w="394" w:type="pct"/>
            <w:tcBorders>
              <w:top w:val="nil"/>
              <w:left w:val="single" w:color="000000" w:sz="4" w:space="0"/>
              <w:bottom w:val="single" w:color="000000" w:sz="4" w:space="0"/>
              <w:right w:val="single" w:color="000000" w:sz="4" w:space="0"/>
            </w:tcBorders>
            <w:shd w:val="clear" w:color="auto" w:fill="FFFFFF"/>
            <w:vAlign w:val="center"/>
          </w:tcPr>
          <w:p w14:paraId="42CC995E">
            <w:pPr>
              <w:jc w:val="center"/>
              <w:rPr>
                <w:rFonts w:ascii="宋体" w:hAnsi="宋体" w:cs="宋体"/>
                <w:color w:val="000000"/>
                <w:sz w:val="20"/>
                <w:szCs w:val="20"/>
              </w:rPr>
            </w:pPr>
          </w:p>
        </w:tc>
      </w:tr>
      <w:tr w14:paraId="5C99AA0D">
        <w:tblPrEx>
          <w:tblCellMar>
            <w:top w:w="0" w:type="dxa"/>
            <w:left w:w="108" w:type="dxa"/>
            <w:bottom w:w="0" w:type="dxa"/>
            <w:right w:w="108" w:type="dxa"/>
          </w:tblCellMar>
        </w:tblPrEx>
        <w:trPr>
          <w:trHeight w:val="90" w:hRule="atLeast"/>
        </w:trPr>
        <w:tc>
          <w:tcPr>
            <w:tcW w:w="218" w:type="pct"/>
            <w:tcBorders>
              <w:top w:val="nil"/>
              <w:left w:val="single" w:color="000000" w:sz="4" w:space="0"/>
              <w:bottom w:val="single" w:color="000000" w:sz="4" w:space="0"/>
              <w:right w:val="single" w:color="000000" w:sz="4" w:space="0"/>
            </w:tcBorders>
            <w:shd w:val="clear" w:color="auto" w:fill="auto"/>
            <w:vAlign w:val="center"/>
          </w:tcPr>
          <w:p w14:paraId="5AE3E810">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727" w:type="pct"/>
            <w:tcBorders>
              <w:top w:val="nil"/>
              <w:left w:val="single" w:color="000000" w:sz="4" w:space="0"/>
              <w:bottom w:val="single" w:color="000000" w:sz="4" w:space="0"/>
              <w:right w:val="single" w:color="000000" w:sz="4" w:space="0"/>
            </w:tcBorders>
            <w:shd w:val="clear" w:color="auto" w:fill="auto"/>
            <w:vAlign w:val="center"/>
          </w:tcPr>
          <w:p w14:paraId="13465E5F">
            <w:pPr>
              <w:widowControl/>
              <w:jc w:val="center"/>
              <w:textAlignment w:val="center"/>
              <w:rPr>
                <w:rFonts w:ascii="宋体" w:hAnsi="宋体" w:cs="宋体"/>
                <w:color w:val="000000"/>
                <w:sz w:val="20"/>
                <w:szCs w:val="20"/>
              </w:rPr>
            </w:pPr>
            <w:r>
              <w:rPr>
                <w:rFonts w:hint="eastAsia" w:ascii="宋体" w:hAnsi="宋体" w:cs="宋体"/>
                <w:color w:val="000000"/>
                <w:sz w:val="20"/>
                <w:szCs w:val="20"/>
              </w:rPr>
              <w:t>智能称重地磅及配套设施</w:t>
            </w:r>
          </w:p>
        </w:tc>
        <w:tc>
          <w:tcPr>
            <w:tcW w:w="992" w:type="pct"/>
            <w:tcBorders>
              <w:top w:val="nil"/>
              <w:left w:val="single" w:color="000000" w:sz="4" w:space="0"/>
              <w:bottom w:val="single" w:color="000000" w:sz="4" w:space="0"/>
              <w:right w:val="single" w:color="000000" w:sz="4" w:space="0"/>
            </w:tcBorders>
            <w:shd w:val="clear" w:color="auto" w:fill="auto"/>
            <w:vAlign w:val="center"/>
          </w:tcPr>
          <w:p w14:paraId="4AB794DA">
            <w:pPr>
              <w:widowControl/>
              <w:jc w:val="center"/>
              <w:textAlignment w:val="center"/>
              <w:rPr>
                <w:rFonts w:ascii="宋体" w:hAnsi="宋体" w:cs="宋体"/>
                <w:color w:val="000000"/>
                <w:kern w:val="0"/>
                <w:sz w:val="20"/>
                <w:szCs w:val="20"/>
              </w:rPr>
            </w:pPr>
          </w:p>
        </w:tc>
        <w:tc>
          <w:tcPr>
            <w:tcW w:w="553" w:type="pct"/>
            <w:tcBorders>
              <w:top w:val="nil"/>
              <w:left w:val="single" w:color="000000" w:sz="4" w:space="0"/>
              <w:bottom w:val="single" w:color="000000" w:sz="4" w:space="0"/>
              <w:right w:val="single" w:color="000000" w:sz="4" w:space="0"/>
            </w:tcBorders>
            <w:shd w:val="clear" w:color="auto" w:fill="auto"/>
            <w:vAlign w:val="center"/>
          </w:tcPr>
          <w:p w14:paraId="35055DC7">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6360">
            <w:pPr>
              <w:widowControl/>
              <w:jc w:val="center"/>
              <w:textAlignment w:val="center"/>
              <w:rPr>
                <w:rFonts w:ascii="宋体" w:hAnsi="宋体" w:cs="宋体"/>
                <w:color w:val="000000"/>
                <w:kern w:val="0"/>
                <w:sz w:val="20"/>
                <w:szCs w:val="20"/>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EC602">
            <w:pPr>
              <w:widowControl/>
              <w:jc w:val="center"/>
              <w:textAlignment w:val="center"/>
              <w:rPr>
                <w:rFonts w:ascii="宋体" w:hAnsi="宋体" w:cs="宋体"/>
                <w:color w:val="000000"/>
                <w:kern w:val="0"/>
                <w:sz w:val="20"/>
                <w:szCs w:val="20"/>
              </w:rPr>
            </w:pPr>
          </w:p>
        </w:tc>
        <w:tc>
          <w:tcPr>
            <w:tcW w:w="394" w:type="pct"/>
            <w:tcBorders>
              <w:top w:val="nil"/>
              <w:left w:val="single" w:color="000000" w:sz="4" w:space="0"/>
              <w:bottom w:val="single" w:color="000000" w:sz="4" w:space="0"/>
              <w:right w:val="single" w:color="000000" w:sz="4" w:space="0"/>
            </w:tcBorders>
            <w:shd w:val="clear" w:color="auto" w:fill="FFFFFF"/>
            <w:vAlign w:val="center"/>
          </w:tcPr>
          <w:p w14:paraId="60B45E11">
            <w:pPr>
              <w:jc w:val="center"/>
              <w:rPr>
                <w:rFonts w:ascii="宋体" w:hAnsi="宋体" w:cs="宋体"/>
                <w:color w:val="000000"/>
                <w:sz w:val="20"/>
                <w:szCs w:val="20"/>
              </w:rPr>
            </w:pPr>
          </w:p>
        </w:tc>
      </w:tr>
      <w:tr w14:paraId="3BDA8DA0">
        <w:tblPrEx>
          <w:tblCellMar>
            <w:top w:w="0" w:type="dxa"/>
            <w:left w:w="108" w:type="dxa"/>
            <w:bottom w:w="0" w:type="dxa"/>
            <w:right w:w="108" w:type="dxa"/>
          </w:tblCellMar>
        </w:tblPrEx>
        <w:trPr>
          <w:trHeight w:val="460" w:hRule="atLeast"/>
        </w:trPr>
        <w:tc>
          <w:tcPr>
            <w:tcW w:w="218" w:type="pct"/>
            <w:tcBorders>
              <w:top w:val="nil"/>
              <w:left w:val="single" w:color="000000" w:sz="4" w:space="0"/>
              <w:bottom w:val="single" w:color="000000" w:sz="4" w:space="0"/>
              <w:right w:val="single" w:color="000000" w:sz="4" w:space="0"/>
            </w:tcBorders>
            <w:shd w:val="clear" w:color="auto" w:fill="auto"/>
            <w:vAlign w:val="center"/>
          </w:tcPr>
          <w:p w14:paraId="2C7763F8">
            <w:pPr>
              <w:widowControl/>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727" w:type="pct"/>
            <w:tcBorders>
              <w:top w:val="nil"/>
              <w:left w:val="single" w:color="000000" w:sz="4" w:space="0"/>
              <w:bottom w:val="single" w:color="000000" w:sz="4" w:space="0"/>
              <w:right w:val="single" w:color="000000" w:sz="4" w:space="0"/>
            </w:tcBorders>
            <w:shd w:val="clear" w:color="auto" w:fill="auto"/>
            <w:vAlign w:val="center"/>
          </w:tcPr>
          <w:p w14:paraId="18E7F2F8">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危废标签纸</w:t>
            </w:r>
          </w:p>
        </w:tc>
        <w:tc>
          <w:tcPr>
            <w:tcW w:w="1545" w:type="pct"/>
            <w:gridSpan w:val="2"/>
            <w:tcBorders>
              <w:top w:val="nil"/>
              <w:left w:val="single" w:color="000000" w:sz="4" w:space="0"/>
              <w:bottom w:val="single" w:color="000000" w:sz="4" w:space="0"/>
              <w:right w:val="single" w:color="000000" w:sz="4" w:space="0"/>
            </w:tcBorders>
            <w:shd w:val="clear" w:color="auto" w:fill="auto"/>
            <w:vAlign w:val="center"/>
          </w:tcPr>
          <w:p w14:paraId="1E81CE13">
            <w:pPr>
              <w:widowControl/>
              <w:jc w:val="center"/>
              <w:textAlignment w:val="center"/>
              <w:rPr>
                <w:rFonts w:ascii="宋体" w:hAnsi="宋体" w:cs="宋体"/>
                <w:color w:val="000000"/>
                <w:sz w:val="20"/>
                <w:szCs w:val="20"/>
              </w:rPr>
            </w:pPr>
            <w:r>
              <w:rPr>
                <w:rFonts w:hint="eastAsia" w:ascii="宋体" w:hAnsi="宋体" w:cs="宋体"/>
              </w:rPr>
              <w:t>100mm×100mm打印纸1000张、150mm×150mm打印纸2000张、200mm×200mm打印纸2000张</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5C2E">
            <w:pPr>
              <w:widowControl/>
              <w:jc w:val="center"/>
              <w:textAlignment w:val="center"/>
              <w:rPr>
                <w:rFonts w:ascii="宋体" w:hAnsi="宋体" w:cs="宋体"/>
                <w:color w:val="000000"/>
                <w:sz w:val="20"/>
                <w:szCs w:val="20"/>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3264">
            <w:pPr>
              <w:widowControl/>
              <w:jc w:val="center"/>
              <w:textAlignment w:val="center"/>
              <w:rPr>
                <w:rFonts w:ascii="宋体" w:hAnsi="宋体" w:cs="宋体"/>
                <w:color w:val="000000"/>
                <w:sz w:val="20"/>
                <w:szCs w:val="20"/>
              </w:rPr>
            </w:pPr>
          </w:p>
        </w:tc>
        <w:tc>
          <w:tcPr>
            <w:tcW w:w="394" w:type="pct"/>
            <w:tcBorders>
              <w:top w:val="nil"/>
              <w:left w:val="single" w:color="000000" w:sz="4" w:space="0"/>
              <w:bottom w:val="single" w:color="000000" w:sz="4" w:space="0"/>
              <w:right w:val="single" w:color="000000" w:sz="4" w:space="0"/>
            </w:tcBorders>
            <w:shd w:val="clear" w:color="auto" w:fill="FFFFFF"/>
            <w:vAlign w:val="center"/>
          </w:tcPr>
          <w:p w14:paraId="55B2D89A">
            <w:pPr>
              <w:jc w:val="center"/>
              <w:rPr>
                <w:rFonts w:ascii="宋体" w:hAnsi="宋体" w:cs="宋体"/>
                <w:color w:val="000000"/>
                <w:sz w:val="20"/>
                <w:szCs w:val="20"/>
              </w:rPr>
            </w:pPr>
          </w:p>
        </w:tc>
      </w:tr>
      <w:tr w14:paraId="7794E5AC">
        <w:tblPrEx>
          <w:tblCellMar>
            <w:top w:w="0" w:type="dxa"/>
            <w:left w:w="108" w:type="dxa"/>
            <w:bottom w:w="0" w:type="dxa"/>
            <w:right w:w="108" w:type="dxa"/>
          </w:tblCellMar>
        </w:tblPrEx>
        <w:trPr>
          <w:trHeight w:val="460" w:hRule="atLeast"/>
        </w:trPr>
        <w:tc>
          <w:tcPr>
            <w:tcW w:w="218" w:type="pct"/>
            <w:tcBorders>
              <w:top w:val="nil"/>
              <w:left w:val="single" w:color="000000" w:sz="4" w:space="0"/>
              <w:bottom w:val="single" w:color="000000" w:sz="4" w:space="0"/>
              <w:right w:val="single" w:color="000000" w:sz="4" w:space="0"/>
            </w:tcBorders>
            <w:shd w:val="clear" w:color="auto" w:fill="auto"/>
            <w:vAlign w:val="center"/>
          </w:tcPr>
          <w:p w14:paraId="467104B5">
            <w:pPr>
              <w:widowControl/>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727" w:type="pct"/>
            <w:tcBorders>
              <w:top w:val="nil"/>
              <w:left w:val="single" w:color="000000" w:sz="4" w:space="0"/>
              <w:bottom w:val="single" w:color="000000" w:sz="4" w:space="0"/>
              <w:right w:val="single" w:color="000000" w:sz="4" w:space="0"/>
            </w:tcBorders>
            <w:shd w:val="clear" w:color="auto" w:fill="auto"/>
            <w:vAlign w:val="center"/>
          </w:tcPr>
          <w:p w14:paraId="5C25F95D">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首年免费服务后，后续五年运维服务费</w:t>
            </w:r>
          </w:p>
        </w:tc>
        <w:tc>
          <w:tcPr>
            <w:tcW w:w="992" w:type="pct"/>
            <w:tcBorders>
              <w:top w:val="nil"/>
              <w:left w:val="single" w:color="000000" w:sz="4" w:space="0"/>
              <w:bottom w:val="single" w:color="000000" w:sz="4" w:space="0"/>
              <w:right w:val="single" w:color="000000" w:sz="4" w:space="0"/>
            </w:tcBorders>
            <w:shd w:val="clear" w:color="auto" w:fill="auto"/>
            <w:vAlign w:val="center"/>
          </w:tcPr>
          <w:p w14:paraId="23C1E8DB">
            <w:pPr>
              <w:widowControl/>
              <w:jc w:val="center"/>
              <w:textAlignment w:val="center"/>
              <w:rPr>
                <w:rFonts w:ascii="宋体" w:hAnsi="宋体" w:cs="宋体"/>
                <w:color w:val="000000"/>
                <w:kern w:val="0"/>
                <w:sz w:val="20"/>
                <w:szCs w:val="20"/>
              </w:rPr>
            </w:pPr>
          </w:p>
        </w:tc>
        <w:tc>
          <w:tcPr>
            <w:tcW w:w="553" w:type="pct"/>
            <w:tcBorders>
              <w:top w:val="nil"/>
              <w:left w:val="single" w:color="000000" w:sz="4" w:space="0"/>
              <w:bottom w:val="single" w:color="000000" w:sz="4" w:space="0"/>
              <w:right w:val="single" w:color="000000" w:sz="4" w:space="0"/>
            </w:tcBorders>
            <w:shd w:val="clear" w:color="auto" w:fill="auto"/>
            <w:vAlign w:val="center"/>
          </w:tcPr>
          <w:p w14:paraId="3795581E">
            <w:pPr>
              <w:widowControl/>
              <w:jc w:val="center"/>
              <w:textAlignment w:val="center"/>
              <w:rPr>
                <w:rFonts w:ascii="宋体" w:hAnsi="宋体" w:cs="宋体"/>
                <w:color w:val="000000"/>
                <w:kern w:val="0"/>
                <w:sz w:val="20"/>
                <w:szCs w:val="20"/>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7B7DA">
            <w:pPr>
              <w:widowControl/>
              <w:jc w:val="center"/>
              <w:textAlignment w:val="center"/>
              <w:rPr>
                <w:rFonts w:ascii="宋体" w:hAnsi="宋体" w:cs="宋体"/>
                <w:color w:val="000000"/>
                <w:kern w:val="0"/>
                <w:sz w:val="20"/>
                <w:szCs w:val="20"/>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FEC2">
            <w:pPr>
              <w:widowControl/>
              <w:jc w:val="center"/>
              <w:textAlignment w:val="center"/>
              <w:rPr>
                <w:rFonts w:ascii="宋体" w:hAnsi="宋体" w:cs="宋体"/>
                <w:color w:val="000000"/>
                <w:kern w:val="0"/>
                <w:sz w:val="20"/>
                <w:szCs w:val="20"/>
              </w:rPr>
            </w:pPr>
          </w:p>
        </w:tc>
        <w:tc>
          <w:tcPr>
            <w:tcW w:w="394" w:type="pct"/>
            <w:tcBorders>
              <w:top w:val="nil"/>
              <w:left w:val="single" w:color="000000" w:sz="4" w:space="0"/>
              <w:bottom w:val="single" w:color="000000" w:sz="4" w:space="0"/>
              <w:right w:val="single" w:color="000000" w:sz="4" w:space="0"/>
            </w:tcBorders>
            <w:shd w:val="clear" w:color="auto" w:fill="FFFFFF"/>
            <w:vAlign w:val="center"/>
          </w:tcPr>
          <w:p w14:paraId="680B9234">
            <w:pPr>
              <w:jc w:val="center"/>
              <w:rPr>
                <w:rFonts w:ascii="宋体" w:hAnsi="宋体" w:cs="宋体"/>
                <w:color w:val="000000"/>
                <w:sz w:val="20"/>
                <w:szCs w:val="20"/>
              </w:rPr>
            </w:pPr>
          </w:p>
        </w:tc>
      </w:tr>
      <w:tr w14:paraId="4CFB507E">
        <w:tblPrEx>
          <w:tblCellMar>
            <w:top w:w="0" w:type="dxa"/>
            <w:left w:w="108" w:type="dxa"/>
            <w:bottom w:w="0" w:type="dxa"/>
            <w:right w:w="108" w:type="dxa"/>
          </w:tblCellMar>
        </w:tblPrEx>
        <w:trPr>
          <w:trHeight w:val="460" w:hRule="atLeast"/>
        </w:trPr>
        <w:tc>
          <w:tcPr>
            <w:tcW w:w="218" w:type="pct"/>
            <w:tcBorders>
              <w:top w:val="nil"/>
              <w:left w:val="single" w:color="000000" w:sz="4" w:space="0"/>
              <w:bottom w:val="single" w:color="000000" w:sz="4" w:space="0"/>
              <w:right w:val="single" w:color="000000" w:sz="4" w:space="0"/>
            </w:tcBorders>
            <w:shd w:val="clear" w:color="auto" w:fill="auto"/>
            <w:vAlign w:val="center"/>
          </w:tcPr>
          <w:p w14:paraId="28B24D03">
            <w:pPr>
              <w:widowControl/>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8DB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合计</w:t>
            </w:r>
          </w:p>
        </w:tc>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44E2">
            <w:pPr>
              <w:jc w:val="center"/>
              <w:rPr>
                <w:rFonts w:ascii="宋体" w:hAnsi="宋体" w:cs="宋体"/>
                <w:color w:val="000000"/>
                <w:sz w:val="20"/>
                <w:szCs w:val="20"/>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FC9F">
            <w:pPr>
              <w:jc w:val="center"/>
              <w:rPr>
                <w:rFonts w:ascii="宋体" w:hAnsi="宋体" w:cs="宋体"/>
                <w:color w:val="000000"/>
                <w:sz w:val="20"/>
                <w:szCs w:val="20"/>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F86C1">
            <w:pPr>
              <w:jc w:val="center"/>
              <w:rPr>
                <w:rFonts w:ascii="宋体" w:hAnsi="宋体" w:cs="宋体"/>
                <w:color w:val="000000"/>
                <w:sz w:val="20"/>
                <w:szCs w:val="20"/>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B520E">
            <w:pPr>
              <w:widowControl/>
              <w:jc w:val="center"/>
              <w:textAlignment w:val="center"/>
              <w:rPr>
                <w:rFonts w:ascii="宋体" w:hAnsi="宋体" w:cs="宋体"/>
                <w:color w:val="000000"/>
                <w:sz w:val="20"/>
                <w:szCs w:val="20"/>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B7D61">
            <w:pPr>
              <w:jc w:val="center"/>
              <w:rPr>
                <w:rFonts w:ascii="宋体" w:hAnsi="宋体" w:cs="宋体"/>
                <w:color w:val="000000"/>
                <w:sz w:val="20"/>
                <w:szCs w:val="20"/>
              </w:rPr>
            </w:pPr>
          </w:p>
        </w:tc>
      </w:tr>
    </w:tbl>
    <w:p w14:paraId="1005E02E">
      <w:pPr>
        <w:spacing w:line="360" w:lineRule="auto"/>
        <w:jc w:val="left"/>
        <w:rPr>
          <w:rFonts w:ascii="宋体" w:hAnsi="宋体" w:cs="宋体"/>
          <w:b/>
          <w:bCs/>
          <w:sz w:val="24"/>
          <w:szCs w:val="24"/>
        </w:rPr>
      </w:pPr>
    </w:p>
    <w:p w14:paraId="7606F2D5">
      <w:pPr>
        <w:spacing w:line="360" w:lineRule="auto"/>
        <w:ind w:firstLine="482" w:firstLineChars="200"/>
        <w:jc w:val="left"/>
        <w:rPr>
          <w:rFonts w:ascii="宋体" w:hAnsi="宋体" w:cs="宋体"/>
          <w:sz w:val="24"/>
          <w:szCs w:val="24"/>
        </w:rPr>
      </w:pPr>
      <w:r>
        <w:rPr>
          <w:rFonts w:hint="eastAsia" w:ascii="宋体" w:hAnsi="宋体" w:cs="宋体"/>
          <w:b/>
          <w:bCs/>
          <w:sz w:val="24"/>
          <w:szCs w:val="24"/>
        </w:rPr>
        <w:t>2</w:t>
      </w:r>
      <w:r>
        <w:rPr>
          <w:rFonts w:hint="eastAsia" w:ascii="宋体" w:hAnsi="宋体" w:cs="宋体"/>
          <w:sz w:val="24"/>
          <w:szCs w:val="24"/>
        </w:rPr>
        <w:t>、腾龙芳烃（PX）</w:t>
      </w:r>
      <w:r>
        <w:rPr>
          <w:rFonts w:hint="eastAsia" w:ascii="宋体" w:hAnsi="宋体" w:cs="宋体"/>
          <w:b/>
          <w:bCs/>
          <w:sz w:val="24"/>
          <w:szCs w:val="24"/>
        </w:rPr>
        <w:t>产品清单</w:t>
      </w:r>
      <w:r>
        <w:rPr>
          <w:rFonts w:hint="eastAsia" w:ascii="宋体" w:hAnsi="宋体" w:cs="宋体"/>
          <w:sz w:val="24"/>
          <w:szCs w:val="24"/>
        </w:rPr>
        <w:t>：</w:t>
      </w:r>
    </w:p>
    <w:p w14:paraId="488B7ED2">
      <w:pPr>
        <w:pStyle w:val="2"/>
        <w:rPr>
          <w:rFonts w:cs="宋体"/>
          <w:b/>
          <w:bCs/>
          <w:sz w:val="24"/>
          <w:szCs w:val="24"/>
        </w:rPr>
      </w:pPr>
    </w:p>
    <w:tbl>
      <w:tblPr>
        <w:tblStyle w:val="23"/>
        <w:tblW w:w="5458" w:type="pct"/>
        <w:tblInd w:w="0" w:type="dxa"/>
        <w:tblLayout w:type="autofit"/>
        <w:tblCellMar>
          <w:top w:w="0" w:type="dxa"/>
          <w:left w:w="108" w:type="dxa"/>
          <w:bottom w:w="0" w:type="dxa"/>
          <w:right w:w="108" w:type="dxa"/>
        </w:tblCellMar>
      </w:tblPr>
      <w:tblGrid>
        <w:gridCol w:w="416"/>
        <w:gridCol w:w="3536"/>
        <w:gridCol w:w="1475"/>
        <w:gridCol w:w="1468"/>
        <w:gridCol w:w="1046"/>
        <w:gridCol w:w="1075"/>
        <w:gridCol w:w="751"/>
      </w:tblGrid>
      <w:tr w14:paraId="60284448">
        <w:tblPrEx>
          <w:tblCellMar>
            <w:top w:w="0" w:type="dxa"/>
            <w:left w:w="108" w:type="dxa"/>
            <w:bottom w:w="0" w:type="dxa"/>
            <w:right w:w="108" w:type="dxa"/>
          </w:tblCellMar>
        </w:tblPrEx>
        <w:trPr>
          <w:trHeight w:val="670" w:hRule="atLeast"/>
        </w:trPr>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40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序号</w:t>
            </w:r>
          </w:p>
        </w:tc>
        <w:tc>
          <w:tcPr>
            <w:tcW w:w="1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116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产品名称</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BD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型号</w:t>
            </w:r>
          </w:p>
        </w:tc>
        <w:tc>
          <w:tcPr>
            <w:tcW w:w="7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88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数量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（套/台）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FD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单价       （元/套）</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AE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小计   （元）</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34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备注</w:t>
            </w:r>
          </w:p>
        </w:tc>
      </w:tr>
      <w:tr w14:paraId="6502EA10">
        <w:tblPrEx>
          <w:tblCellMar>
            <w:top w:w="0" w:type="dxa"/>
            <w:left w:w="108" w:type="dxa"/>
            <w:bottom w:w="0" w:type="dxa"/>
            <w:right w:w="108" w:type="dxa"/>
          </w:tblCellMar>
        </w:tblPrEx>
        <w:trPr>
          <w:trHeight w:val="531" w:hRule="atLeast"/>
        </w:trPr>
        <w:tc>
          <w:tcPr>
            <w:tcW w:w="212" w:type="pct"/>
            <w:tcBorders>
              <w:top w:val="nil"/>
              <w:left w:val="single" w:color="000000" w:sz="4" w:space="0"/>
              <w:bottom w:val="single" w:color="000000" w:sz="4" w:space="0"/>
              <w:right w:val="single" w:color="000000" w:sz="4" w:space="0"/>
            </w:tcBorders>
            <w:shd w:val="clear" w:color="auto" w:fill="auto"/>
            <w:vAlign w:val="center"/>
          </w:tcPr>
          <w:p w14:paraId="74CFC9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1809" w:type="pct"/>
            <w:tcBorders>
              <w:top w:val="nil"/>
              <w:left w:val="single" w:color="000000" w:sz="4" w:space="0"/>
              <w:bottom w:val="single" w:color="000000" w:sz="4" w:space="0"/>
              <w:right w:val="single" w:color="000000" w:sz="4" w:space="0"/>
            </w:tcBorders>
            <w:shd w:val="clear" w:color="auto" w:fill="auto"/>
            <w:vAlign w:val="center"/>
          </w:tcPr>
          <w:p w14:paraId="4AA5DF13">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危废物联智能终端立式一体机</w:t>
            </w:r>
            <w:r>
              <w:rPr>
                <w:rFonts w:hint="eastAsia" w:ascii="宋体" w:hAnsi="宋体" w:cs="宋体"/>
                <w:color w:val="000000"/>
                <w:kern w:val="0"/>
                <w:sz w:val="20"/>
                <w:szCs w:val="20"/>
              </w:rPr>
              <w:t>（内置全尺寸危废标签打印机、配无线红外扫码枪、物联网卡等全套设备）</w:t>
            </w:r>
          </w:p>
        </w:tc>
        <w:tc>
          <w:tcPr>
            <w:tcW w:w="755" w:type="pct"/>
            <w:tcBorders>
              <w:top w:val="nil"/>
              <w:left w:val="single" w:color="000000" w:sz="4" w:space="0"/>
              <w:bottom w:val="single" w:color="000000" w:sz="4" w:space="0"/>
              <w:right w:val="single" w:color="000000" w:sz="4" w:space="0"/>
            </w:tcBorders>
            <w:shd w:val="clear" w:color="auto" w:fill="auto"/>
            <w:vAlign w:val="center"/>
          </w:tcPr>
          <w:p w14:paraId="22692507">
            <w:pPr>
              <w:widowControl/>
              <w:jc w:val="center"/>
              <w:textAlignment w:val="center"/>
              <w:rPr>
                <w:rFonts w:ascii="宋体" w:hAnsi="宋体" w:cs="宋体"/>
                <w:color w:val="000000"/>
                <w:sz w:val="20"/>
                <w:szCs w:val="20"/>
              </w:rPr>
            </w:pPr>
          </w:p>
        </w:tc>
        <w:tc>
          <w:tcPr>
            <w:tcW w:w="750" w:type="pct"/>
            <w:tcBorders>
              <w:top w:val="nil"/>
              <w:left w:val="single" w:color="000000" w:sz="4" w:space="0"/>
              <w:bottom w:val="single" w:color="000000" w:sz="4" w:space="0"/>
              <w:right w:val="single" w:color="000000" w:sz="4" w:space="0"/>
            </w:tcBorders>
            <w:shd w:val="clear" w:color="auto" w:fill="auto"/>
            <w:vAlign w:val="center"/>
          </w:tcPr>
          <w:p w14:paraId="1D9B9C21">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AD14">
            <w:pPr>
              <w:widowControl/>
              <w:jc w:val="center"/>
              <w:textAlignment w:val="center"/>
              <w:rPr>
                <w:rFonts w:ascii="宋体" w:hAnsi="宋体" w:cs="宋体"/>
                <w:color w:val="000000"/>
                <w:sz w:val="20"/>
                <w:szCs w:val="20"/>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6A728">
            <w:pPr>
              <w:widowControl/>
              <w:jc w:val="center"/>
              <w:textAlignment w:val="center"/>
              <w:rPr>
                <w:rFonts w:ascii="宋体" w:hAnsi="宋体" w:cs="宋体"/>
                <w:color w:val="000000"/>
                <w:sz w:val="20"/>
                <w:szCs w:val="20"/>
              </w:rPr>
            </w:pPr>
          </w:p>
        </w:tc>
        <w:tc>
          <w:tcPr>
            <w:tcW w:w="384" w:type="pct"/>
            <w:tcBorders>
              <w:top w:val="nil"/>
              <w:left w:val="single" w:color="000000" w:sz="4" w:space="0"/>
              <w:bottom w:val="single" w:color="000000" w:sz="4" w:space="0"/>
              <w:right w:val="single" w:color="000000" w:sz="4" w:space="0"/>
            </w:tcBorders>
            <w:shd w:val="clear" w:color="auto" w:fill="FFFFFF"/>
            <w:vAlign w:val="center"/>
          </w:tcPr>
          <w:p w14:paraId="1A4C533C">
            <w:pPr>
              <w:jc w:val="center"/>
              <w:rPr>
                <w:rFonts w:ascii="宋体" w:hAnsi="宋体" w:cs="宋体"/>
                <w:color w:val="000000"/>
                <w:sz w:val="20"/>
                <w:szCs w:val="20"/>
              </w:rPr>
            </w:pPr>
          </w:p>
        </w:tc>
      </w:tr>
      <w:tr w14:paraId="6F0E4FA8">
        <w:tblPrEx>
          <w:tblCellMar>
            <w:top w:w="0" w:type="dxa"/>
            <w:left w:w="108" w:type="dxa"/>
            <w:bottom w:w="0" w:type="dxa"/>
            <w:right w:w="108" w:type="dxa"/>
          </w:tblCellMar>
        </w:tblPrEx>
        <w:trPr>
          <w:trHeight w:val="90" w:hRule="atLeast"/>
        </w:trPr>
        <w:tc>
          <w:tcPr>
            <w:tcW w:w="212" w:type="pct"/>
            <w:tcBorders>
              <w:top w:val="nil"/>
              <w:left w:val="single" w:color="000000" w:sz="4" w:space="0"/>
              <w:bottom w:val="single" w:color="000000" w:sz="4" w:space="0"/>
              <w:right w:val="single" w:color="000000" w:sz="4" w:space="0"/>
            </w:tcBorders>
            <w:shd w:val="clear" w:color="auto" w:fill="auto"/>
            <w:vAlign w:val="center"/>
          </w:tcPr>
          <w:p w14:paraId="7571CD9D">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809" w:type="pct"/>
            <w:tcBorders>
              <w:top w:val="nil"/>
              <w:left w:val="single" w:color="000000" w:sz="4" w:space="0"/>
              <w:bottom w:val="single" w:color="000000" w:sz="4" w:space="0"/>
              <w:right w:val="single" w:color="000000" w:sz="4" w:space="0"/>
            </w:tcBorders>
            <w:shd w:val="clear" w:color="auto" w:fill="auto"/>
            <w:vAlign w:val="center"/>
          </w:tcPr>
          <w:p w14:paraId="026DECEE">
            <w:pPr>
              <w:widowControl/>
              <w:jc w:val="center"/>
              <w:textAlignment w:val="center"/>
              <w:rPr>
                <w:rFonts w:ascii="宋体" w:hAnsi="宋体" w:cs="宋体"/>
                <w:color w:val="000000"/>
                <w:sz w:val="20"/>
                <w:szCs w:val="20"/>
              </w:rPr>
            </w:pPr>
            <w:r>
              <w:rPr>
                <w:rFonts w:hint="eastAsia" w:ascii="宋体" w:hAnsi="宋体" w:cs="宋体"/>
                <w:color w:val="000000"/>
                <w:sz w:val="20"/>
                <w:szCs w:val="20"/>
              </w:rPr>
              <w:t>智能称重地磅及配套设施</w:t>
            </w:r>
          </w:p>
        </w:tc>
        <w:tc>
          <w:tcPr>
            <w:tcW w:w="755" w:type="pct"/>
            <w:tcBorders>
              <w:top w:val="nil"/>
              <w:left w:val="single" w:color="000000" w:sz="4" w:space="0"/>
              <w:bottom w:val="single" w:color="000000" w:sz="4" w:space="0"/>
              <w:right w:val="single" w:color="000000" w:sz="4" w:space="0"/>
            </w:tcBorders>
            <w:shd w:val="clear" w:color="auto" w:fill="auto"/>
            <w:vAlign w:val="center"/>
          </w:tcPr>
          <w:p w14:paraId="14429B1E">
            <w:pPr>
              <w:widowControl/>
              <w:jc w:val="center"/>
              <w:textAlignment w:val="center"/>
              <w:rPr>
                <w:rFonts w:ascii="宋体" w:hAnsi="宋体" w:cs="宋体"/>
                <w:color w:val="000000"/>
                <w:kern w:val="0"/>
                <w:sz w:val="20"/>
                <w:szCs w:val="20"/>
              </w:rPr>
            </w:pPr>
          </w:p>
        </w:tc>
        <w:tc>
          <w:tcPr>
            <w:tcW w:w="750" w:type="pct"/>
            <w:tcBorders>
              <w:top w:val="nil"/>
              <w:left w:val="single" w:color="000000" w:sz="4" w:space="0"/>
              <w:bottom w:val="single" w:color="000000" w:sz="4" w:space="0"/>
              <w:right w:val="single" w:color="000000" w:sz="4" w:space="0"/>
            </w:tcBorders>
            <w:shd w:val="clear" w:color="auto" w:fill="auto"/>
            <w:vAlign w:val="center"/>
          </w:tcPr>
          <w:p w14:paraId="5967AE0C">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365E8">
            <w:pPr>
              <w:widowControl/>
              <w:jc w:val="center"/>
              <w:textAlignment w:val="center"/>
              <w:rPr>
                <w:rFonts w:ascii="宋体" w:hAnsi="宋体" w:cs="宋体"/>
                <w:color w:val="000000"/>
                <w:kern w:val="0"/>
                <w:sz w:val="20"/>
                <w:szCs w:val="20"/>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FF1B">
            <w:pPr>
              <w:widowControl/>
              <w:jc w:val="center"/>
              <w:textAlignment w:val="center"/>
              <w:rPr>
                <w:rFonts w:ascii="宋体" w:hAnsi="宋体" w:cs="宋体"/>
                <w:color w:val="000000"/>
                <w:kern w:val="0"/>
                <w:sz w:val="20"/>
                <w:szCs w:val="20"/>
              </w:rPr>
            </w:pPr>
          </w:p>
        </w:tc>
        <w:tc>
          <w:tcPr>
            <w:tcW w:w="384" w:type="pct"/>
            <w:tcBorders>
              <w:top w:val="nil"/>
              <w:left w:val="single" w:color="000000" w:sz="4" w:space="0"/>
              <w:bottom w:val="single" w:color="000000" w:sz="4" w:space="0"/>
              <w:right w:val="single" w:color="000000" w:sz="4" w:space="0"/>
            </w:tcBorders>
            <w:shd w:val="clear" w:color="auto" w:fill="FFFFFF"/>
            <w:vAlign w:val="center"/>
          </w:tcPr>
          <w:p w14:paraId="2A38BDA8">
            <w:pPr>
              <w:jc w:val="center"/>
              <w:rPr>
                <w:rFonts w:ascii="宋体" w:hAnsi="宋体" w:cs="宋体"/>
                <w:color w:val="000000"/>
                <w:sz w:val="20"/>
                <w:szCs w:val="20"/>
              </w:rPr>
            </w:pPr>
          </w:p>
        </w:tc>
      </w:tr>
      <w:tr w14:paraId="3E38B638">
        <w:tblPrEx>
          <w:tblCellMar>
            <w:top w:w="0" w:type="dxa"/>
            <w:left w:w="108" w:type="dxa"/>
            <w:bottom w:w="0" w:type="dxa"/>
            <w:right w:w="108" w:type="dxa"/>
          </w:tblCellMar>
        </w:tblPrEx>
        <w:trPr>
          <w:trHeight w:val="460" w:hRule="atLeast"/>
        </w:trPr>
        <w:tc>
          <w:tcPr>
            <w:tcW w:w="212" w:type="pct"/>
            <w:tcBorders>
              <w:top w:val="nil"/>
              <w:left w:val="single" w:color="000000" w:sz="4" w:space="0"/>
              <w:bottom w:val="single" w:color="000000" w:sz="4" w:space="0"/>
              <w:right w:val="single" w:color="000000" w:sz="4" w:space="0"/>
            </w:tcBorders>
            <w:shd w:val="clear" w:color="auto" w:fill="auto"/>
            <w:vAlign w:val="center"/>
          </w:tcPr>
          <w:p w14:paraId="251AD73B">
            <w:pPr>
              <w:widowControl/>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809" w:type="pct"/>
            <w:tcBorders>
              <w:top w:val="nil"/>
              <w:left w:val="single" w:color="000000" w:sz="4" w:space="0"/>
              <w:bottom w:val="single" w:color="000000" w:sz="4" w:space="0"/>
              <w:right w:val="single" w:color="000000" w:sz="4" w:space="0"/>
            </w:tcBorders>
            <w:shd w:val="clear" w:color="auto" w:fill="auto"/>
            <w:vAlign w:val="center"/>
          </w:tcPr>
          <w:p w14:paraId="69DBCEF3">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危废标签纸</w:t>
            </w:r>
          </w:p>
        </w:tc>
        <w:tc>
          <w:tcPr>
            <w:tcW w:w="1506" w:type="pct"/>
            <w:gridSpan w:val="2"/>
            <w:tcBorders>
              <w:top w:val="nil"/>
              <w:left w:val="single" w:color="000000" w:sz="4" w:space="0"/>
              <w:bottom w:val="single" w:color="000000" w:sz="4" w:space="0"/>
              <w:right w:val="single" w:color="000000" w:sz="4" w:space="0"/>
            </w:tcBorders>
            <w:shd w:val="clear" w:color="auto" w:fill="auto"/>
            <w:vAlign w:val="center"/>
          </w:tcPr>
          <w:p w14:paraId="77D0FB57">
            <w:pPr>
              <w:widowControl/>
              <w:jc w:val="center"/>
              <w:textAlignment w:val="center"/>
              <w:rPr>
                <w:rFonts w:ascii="宋体" w:hAnsi="宋体" w:cs="宋体"/>
                <w:color w:val="000000"/>
                <w:sz w:val="20"/>
                <w:szCs w:val="20"/>
              </w:rPr>
            </w:pPr>
            <w:r>
              <w:rPr>
                <w:rFonts w:hint="eastAsia" w:ascii="宋体" w:hAnsi="宋体" w:cs="宋体"/>
              </w:rPr>
              <w:t>150mm×150mm打印纸1000张、200mm×200mm打印纸4000张</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6D2A">
            <w:pPr>
              <w:widowControl/>
              <w:jc w:val="center"/>
              <w:textAlignment w:val="center"/>
              <w:rPr>
                <w:rFonts w:ascii="宋体" w:hAnsi="宋体" w:cs="宋体"/>
                <w:color w:val="000000"/>
                <w:sz w:val="20"/>
                <w:szCs w:val="20"/>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CDB4E">
            <w:pPr>
              <w:widowControl/>
              <w:jc w:val="center"/>
              <w:textAlignment w:val="center"/>
              <w:rPr>
                <w:rFonts w:ascii="宋体" w:hAnsi="宋体" w:cs="宋体"/>
                <w:color w:val="000000"/>
                <w:sz w:val="20"/>
                <w:szCs w:val="20"/>
              </w:rPr>
            </w:pPr>
          </w:p>
        </w:tc>
        <w:tc>
          <w:tcPr>
            <w:tcW w:w="384" w:type="pct"/>
            <w:tcBorders>
              <w:top w:val="nil"/>
              <w:left w:val="single" w:color="000000" w:sz="4" w:space="0"/>
              <w:bottom w:val="single" w:color="000000" w:sz="4" w:space="0"/>
              <w:right w:val="single" w:color="000000" w:sz="4" w:space="0"/>
            </w:tcBorders>
            <w:shd w:val="clear" w:color="auto" w:fill="FFFFFF"/>
            <w:vAlign w:val="center"/>
          </w:tcPr>
          <w:p w14:paraId="6002E1A1">
            <w:pPr>
              <w:jc w:val="center"/>
              <w:rPr>
                <w:rFonts w:ascii="宋体" w:hAnsi="宋体" w:cs="宋体"/>
                <w:color w:val="000000"/>
                <w:sz w:val="20"/>
                <w:szCs w:val="20"/>
              </w:rPr>
            </w:pPr>
          </w:p>
        </w:tc>
      </w:tr>
      <w:tr w14:paraId="3B65BEF6">
        <w:tblPrEx>
          <w:tblCellMar>
            <w:top w:w="0" w:type="dxa"/>
            <w:left w:w="108" w:type="dxa"/>
            <w:bottom w:w="0" w:type="dxa"/>
            <w:right w:w="108" w:type="dxa"/>
          </w:tblCellMar>
        </w:tblPrEx>
        <w:trPr>
          <w:trHeight w:val="460" w:hRule="atLeast"/>
        </w:trPr>
        <w:tc>
          <w:tcPr>
            <w:tcW w:w="212" w:type="pct"/>
            <w:tcBorders>
              <w:top w:val="nil"/>
              <w:left w:val="single" w:color="000000" w:sz="4" w:space="0"/>
              <w:bottom w:val="single" w:color="000000" w:sz="4" w:space="0"/>
              <w:right w:val="single" w:color="000000" w:sz="4" w:space="0"/>
            </w:tcBorders>
            <w:shd w:val="clear" w:color="auto" w:fill="auto"/>
            <w:vAlign w:val="center"/>
          </w:tcPr>
          <w:p w14:paraId="002EE407">
            <w:pPr>
              <w:widowControl/>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809" w:type="pct"/>
            <w:tcBorders>
              <w:top w:val="nil"/>
              <w:left w:val="single" w:color="000000" w:sz="4" w:space="0"/>
              <w:bottom w:val="single" w:color="000000" w:sz="4" w:space="0"/>
              <w:right w:val="single" w:color="000000" w:sz="4" w:space="0"/>
            </w:tcBorders>
            <w:shd w:val="clear" w:color="auto" w:fill="auto"/>
            <w:vAlign w:val="center"/>
          </w:tcPr>
          <w:p w14:paraId="0C155D58">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首年免费服务后，后续五年运维服务费</w:t>
            </w:r>
          </w:p>
        </w:tc>
        <w:tc>
          <w:tcPr>
            <w:tcW w:w="755" w:type="pct"/>
            <w:tcBorders>
              <w:top w:val="nil"/>
              <w:left w:val="single" w:color="000000" w:sz="4" w:space="0"/>
              <w:bottom w:val="single" w:color="000000" w:sz="4" w:space="0"/>
              <w:right w:val="single" w:color="000000" w:sz="4" w:space="0"/>
            </w:tcBorders>
            <w:shd w:val="clear" w:color="auto" w:fill="auto"/>
            <w:vAlign w:val="center"/>
          </w:tcPr>
          <w:p w14:paraId="540A6642">
            <w:pPr>
              <w:widowControl/>
              <w:jc w:val="center"/>
              <w:textAlignment w:val="center"/>
              <w:rPr>
                <w:rFonts w:ascii="宋体" w:hAnsi="宋体" w:cs="宋体"/>
                <w:color w:val="000000"/>
                <w:kern w:val="0"/>
                <w:sz w:val="20"/>
                <w:szCs w:val="20"/>
              </w:rPr>
            </w:pPr>
          </w:p>
        </w:tc>
        <w:tc>
          <w:tcPr>
            <w:tcW w:w="750" w:type="pct"/>
            <w:tcBorders>
              <w:top w:val="nil"/>
              <w:left w:val="single" w:color="000000" w:sz="4" w:space="0"/>
              <w:bottom w:val="single" w:color="000000" w:sz="4" w:space="0"/>
              <w:right w:val="single" w:color="000000" w:sz="4" w:space="0"/>
            </w:tcBorders>
            <w:shd w:val="clear" w:color="auto" w:fill="auto"/>
            <w:vAlign w:val="center"/>
          </w:tcPr>
          <w:p w14:paraId="6A3C56FF">
            <w:pPr>
              <w:widowControl/>
              <w:jc w:val="center"/>
              <w:textAlignment w:val="center"/>
              <w:rPr>
                <w:rFonts w:ascii="宋体" w:hAnsi="宋体" w:cs="宋体"/>
                <w:color w:val="000000"/>
                <w:kern w:val="0"/>
                <w:sz w:val="20"/>
                <w:szCs w:val="20"/>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14F7">
            <w:pPr>
              <w:widowControl/>
              <w:jc w:val="center"/>
              <w:textAlignment w:val="center"/>
              <w:rPr>
                <w:rFonts w:ascii="宋体" w:hAnsi="宋体" w:cs="宋体"/>
                <w:color w:val="000000"/>
                <w:kern w:val="0"/>
                <w:sz w:val="20"/>
                <w:szCs w:val="20"/>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B5160">
            <w:pPr>
              <w:widowControl/>
              <w:jc w:val="center"/>
              <w:textAlignment w:val="center"/>
              <w:rPr>
                <w:rFonts w:ascii="宋体" w:hAnsi="宋体" w:cs="宋体"/>
                <w:color w:val="000000"/>
                <w:kern w:val="0"/>
                <w:sz w:val="20"/>
                <w:szCs w:val="20"/>
              </w:rPr>
            </w:pPr>
          </w:p>
        </w:tc>
        <w:tc>
          <w:tcPr>
            <w:tcW w:w="384" w:type="pct"/>
            <w:tcBorders>
              <w:top w:val="nil"/>
              <w:left w:val="single" w:color="000000" w:sz="4" w:space="0"/>
              <w:bottom w:val="single" w:color="000000" w:sz="4" w:space="0"/>
              <w:right w:val="single" w:color="000000" w:sz="4" w:space="0"/>
            </w:tcBorders>
            <w:shd w:val="clear" w:color="auto" w:fill="FFFFFF"/>
            <w:vAlign w:val="center"/>
          </w:tcPr>
          <w:p w14:paraId="61100DB0">
            <w:pPr>
              <w:jc w:val="center"/>
              <w:rPr>
                <w:rFonts w:ascii="宋体" w:hAnsi="宋体" w:cs="宋体"/>
                <w:color w:val="000000"/>
                <w:sz w:val="20"/>
                <w:szCs w:val="20"/>
              </w:rPr>
            </w:pPr>
          </w:p>
        </w:tc>
      </w:tr>
      <w:tr w14:paraId="6B876720">
        <w:tblPrEx>
          <w:tblCellMar>
            <w:top w:w="0" w:type="dxa"/>
            <w:left w:w="108" w:type="dxa"/>
            <w:bottom w:w="0" w:type="dxa"/>
            <w:right w:w="108" w:type="dxa"/>
          </w:tblCellMar>
        </w:tblPrEx>
        <w:trPr>
          <w:trHeight w:val="460" w:hRule="atLeast"/>
        </w:trPr>
        <w:tc>
          <w:tcPr>
            <w:tcW w:w="212" w:type="pct"/>
            <w:tcBorders>
              <w:top w:val="nil"/>
              <w:left w:val="single" w:color="000000" w:sz="4" w:space="0"/>
              <w:bottom w:val="single" w:color="000000" w:sz="4" w:space="0"/>
              <w:right w:val="single" w:color="000000" w:sz="4" w:space="0"/>
            </w:tcBorders>
            <w:shd w:val="clear" w:color="auto" w:fill="auto"/>
            <w:vAlign w:val="center"/>
          </w:tcPr>
          <w:p w14:paraId="6207415F">
            <w:pPr>
              <w:widowControl/>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10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合计</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74E5">
            <w:pPr>
              <w:jc w:val="center"/>
              <w:rPr>
                <w:rFonts w:ascii="宋体" w:hAnsi="宋体" w:cs="宋体"/>
                <w:color w:val="000000"/>
                <w:sz w:val="20"/>
                <w:szCs w:val="20"/>
              </w:rPr>
            </w:pPr>
          </w:p>
        </w:tc>
        <w:tc>
          <w:tcPr>
            <w:tcW w:w="7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B8FD">
            <w:pPr>
              <w:jc w:val="center"/>
              <w:rPr>
                <w:rFonts w:ascii="宋体" w:hAnsi="宋体" w:cs="宋体"/>
                <w:color w:val="000000"/>
                <w:sz w:val="20"/>
                <w:szCs w:val="20"/>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FB3D">
            <w:pPr>
              <w:jc w:val="center"/>
              <w:rPr>
                <w:rFonts w:ascii="宋体" w:hAnsi="宋体" w:cs="宋体"/>
                <w:color w:val="000000"/>
                <w:sz w:val="20"/>
                <w:szCs w:val="20"/>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562C">
            <w:pPr>
              <w:widowControl/>
              <w:jc w:val="center"/>
              <w:textAlignment w:val="center"/>
              <w:rPr>
                <w:rFonts w:ascii="宋体" w:hAnsi="宋体" w:cs="宋体"/>
                <w:color w:val="000000"/>
                <w:sz w:val="20"/>
                <w:szCs w:val="20"/>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F5B86">
            <w:pPr>
              <w:jc w:val="center"/>
              <w:rPr>
                <w:rFonts w:ascii="宋体" w:hAnsi="宋体" w:cs="宋体"/>
                <w:color w:val="000000"/>
                <w:sz w:val="20"/>
                <w:szCs w:val="20"/>
              </w:rPr>
            </w:pPr>
          </w:p>
        </w:tc>
      </w:tr>
    </w:tbl>
    <w:p w14:paraId="4EB74A28">
      <w:pPr>
        <w:pStyle w:val="2"/>
        <w:rPr>
          <w:rFonts w:cs="宋体"/>
          <w:b/>
          <w:bCs/>
          <w:sz w:val="24"/>
          <w:szCs w:val="24"/>
        </w:rPr>
      </w:pPr>
    </w:p>
    <w:p w14:paraId="12A02E0E">
      <w:pPr>
        <w:spacing w:line="360" w:lineRule="auto"/>
        <w:ind w:firstLine="482" w:firstLineChars="200"/>
        <w:jc w:val="left"/>
        <w:rPr>
          <w:rFonts w:ascii="宋体" w:hAnsi="宋体" w:cs="宋体"/>
          <w:sz w:val="24"/>
          <w:szCs w:val="24"/>
        </w:rPr>
      </w:pPr>
      <w:r>
        <w:rPr>
          <w:rFonts w:hint="eastAsia" w:ascii="宋体" w:hAnsi="宋体" w:cs="宋体"/>
          <w:b/>
          <w:bCs/>
          <w:sz w:val="24"/>
          <w:szCs w:val="24"/>
        </w:rPr>
        <w:t>3</w:t>
      </w:r>
      <w:r>
        <w:rPr>
          <w:rFonts w:hint="eastAsia" w:ascii="宋体" w:hAnsi="宋体" w:cs="宋体"/>
          <w:sz w:val="24"/>
          <w:szCs w:val="24"/>
        </w:rPr>
        <w:t>、古蕾化学</w:t>
      </w:r>
      <w:r>
        <w:rPr>
          <w:rFonts w:hint="eastAsia" w:ascii="宋体" w:hAnsi="宋体" w:cs="宋体"/>
          <w:b/>
          <w:bCs/>
          <w:sz w:val="24"/>
          <w:szCs w:val="24"/>
        </w:rPr>
        <w:t>产品清单</w:t>
      </w:r>
      <w:r>
        <w:rPr>
          <w:rFonts w:hint="eastAsia" w:ascii="宋体" w:hAnsi="宋体" w:cs="宋体"/>
          <w:sz w:val="24"/>
          <w:szCs w:val="24"/>
        </w:rPr>
        <w:t>：</w:t>
      </w:r>
    </w:p>
    <w:p w14:paraId="7810554A">
      <w:pPr>
        <w:pStyle w:val="2"/>
        <w:rPr>
          <w:rFonts w:cs="宋体"/>
          <w:b/>
          <w:bCs/>
          <w:sz w:val="24"/>
          <w:szCs w:val="24"/>
        </w:rPr>
      </w:pPr>
    </w:p>
    <w:tbl>
      <w:tblPr>
        <w:tblStyle w:val="23"/>
        <w:tblW w:w="5415" w:type="pct"/>
        <w:tblInd w:w="0" w:type="dxa"/>
        <w:tblLayout w:type="autofit"/>
        <w:tblCellMar>
          <w:top w:w="0" w:type="dxa"/>
          <w:left w:w="108" w:type="dxa"/>
          <w:bottom w:w="0" w:type="dxa"/>
          <w:right w:w="108" w:type="dxa"/>
        </w:tblCellMar>
      </w:tblPr>
      <w:tblGrid>
        <w:gridCol w:w="416"/>
        <w:gridCol w:w="3459"/>
        <w:gridCol w:w="1476"/>
        <w:gridCol w:w="1466"/>
        <w:gridCol w:w="1047"/>
        <w:gridCol w:w="1075"/>
        <w:gridCol w:w="751"/>
      </w:tblGrid>
      <w:tr w14:paraId="78059E4D">
        <w:tblPrEx>
          <w:tblCellMar>
            <w:top w:w="0" w:type="dxa"/>
            <w:left w:w="108" w:type="dxa"/>
            <w:bottom w:w="0" w:type="dxa"/>
            <w:right w:w="108" w:type="dxa"/>
          </w:tblCellMar>
        </w:tblPrEx>
        <w:trPr>
          <w:trHeight w:val="670" w:hRule="atLeast"/>
        </w:trPr>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2F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序号</w:t>
            </w:r>
          </w:p>
        </w:tc>
        <w:tc>
          <w:tcPr>
            <w:tcW w:w="1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54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产品名称</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9C0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型号</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AF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数量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（套/台）</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0A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单价       （元/套）</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6F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小计   （元）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37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备注</w:t>
            </w:r>
          </w:p>
        </w:tc>
      </w:tr>
      <w:tr w14:paraId="729805AD">
        <w:tblPrEx>
          <w:tblCellMar>
            <w:top w:w="0" w:type="dxa"/>
            <w:left w:w="108" w:type="dxa"/>
            <w:bottom w:w="0" w:type="dxa"/>
            <w:right w:w="108" w:type="dxa"/>
          </w:tblCellMar>
        </w:tblPrEx>
        <w:trPr>
          <w:trHeight w:val="531" w:hRule="atLeast"/>
        </w:trPr>
        <w:tc>
          <w:tcPr>
            <w:tcW w:w="214" w:type="pct"/>
            <w:tcBorders>
              <w:top w:val="nil"/>
              <w:left w:val="single" w:color="000000" w:sz="4" w:space="0"/>
              <w:bottom w:val="single" w:color="000000" w:sz="4" w:space="0"/>
              <w:right w:val="single" w:color="000000" w:sz="4" w:space="0"/>
            </w:tcBorders>
            <w:shd w:val="clear" w:color="auto" w:fill="auto"/>
            <w:vAlign w:val="center"/>
          </w:tcPr>
          <w:p w14:paraId="32335E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1784" w:type="pct"/>
            <w:tcBorders>
              <w:top w:val="nil"/>
              <w:left w:val="single" w:color="000000" w:sz="4" w:space="0"/>
              <w:bottom w:val="single" w:color="000000" w:sz="4" w:space="0"/>
              <w:right w:val="single" w:color="000000" w:sz="4" w:space="0"/>
            </w:tcBorders>
            <w:shd w:val="clear" w:color="auto" w:fill="auto"/>
            <w:vAlign w:val="center"/>
          </w:tcPr>
          <w:p w14:paraId="47D1FAF1">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危废物联智能终端立式一体机</w:t>
            </w:r>
            <w:r>
              <w:rPr>
                <w:rFonts w:hint="eastAsia" w:ascii="宋体" w:hAnsi="宋体" w:cs="宋体"/>
                <w:color w:val="000000"/>
                <w:kern w:val="0"/>
                <w:sz w:val="20"/>
                <w:szCs w:val="20"/>
              </w:rPr>
              <w:t>（内置全尺寸危废标签打印机、配无线红外扫码枪、物联网卡等全套设备）</w:t>
            </w:r>
          </w:p>
        </w:tc>
        <w:tc>
          <w:tcPr>
            <w:tcW w:w="761" w:type="pct"/>
            <w:tcBorders>
              <w:top w:val="nil"/>
              <w:left w:val="single" w:color="000000" w:sz="4" w:space="0"/>
              <w:bottom w:val="single" w:color="000000" w:sz="4" w:space="0"/>
              <w:right w:val="single" w:color="000000" w:sz="4" w:space="0"/>
            </w:tcBorders>
            <w:shd w:val="clear" w:color="auto" w:fill="auto"/>
            <w:vAlign w:val="center"/>
          </w:tcPr>
          <w:p w14:paraId="53ED88E6">
            <w:pPr>
              <w:widowControl/>
              <w:jc w:val="center"/>
              <w:textAlignment w:val="center"/>
              <w:rPr>
                <w:rFonts w:ascii="宋体" w:hAnsi="宋体" w:cs="宋体"/>
                <w:color w:val="000000"/>
                <w:sz w:val="20"/>
                <w:szCs w:val="20"/>
              </w:rPr>
            </w:pPr>
          </w:p>
        </w:tc>
        <w:tc>
          <w:tcPr>
            <w:tcW w:w="756" w:type="pct"/>
            <w:tcBorders>
              <w:top w:val="nil"/>
              <w:left w:val="single" w:color="000000" w:sz="4" w:space="0"/>
              <w:bottom w:val="single" w:color="000000" w:sz="4" w:space="0"/>
              <w:right w:val="single" w:color="000000" w:sz="4" w:space="0"/>
            </w:tcBorders>
            <w:shd w:val="clear" w:color="auto" w:fill="auto"/>
            <w:vAlign w:val="center"/>
          </w:tcPr>
          <w:p w14:paraId="3433DD3A">
            <w:pPr>
              <w:widowControl/>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9BA5">
            <w:pPr>
              <w:widowControl/>
              <w:jc w:val="center"/>
              <w:textAlignment w:val="center"/>
              <w:rPr>
                <w:rFonts w:ascii="宋体" w:hAnsi="宋体" w:cs="宋体"/>
                <w:color w:val="000000"/>
                <w:sz w:val="20"/>
                <w:szCs w:val="20"/>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5F85">
            <w:pPr>
              <w:widowControl/>
              <w:jc w:val="center"/>
              <w:textAlignment w:val="center"/>
              <w:rPr>
                <w:rFonts w:ascii="宋体" w:hAnsi="宋体" w:cs="宋体"/>
                <w:color w:val="000000"/>
                <w:sz w:val="20"/>
                <w:szCs w:val="20"/>
              </w:rPr>
            </w:pPr>
          </w:p>
        </w:tc>
        <w:tc>
          <w:tcPr>
            <w:tcW w:w="387" w:type="pct"/>
            <w:tcBorders>
              <w:top w:val="nil"/>
              <w:left w:val="single" w:color="000000" w:sz="4" w:space="0"/>
              <w:bottom w:val="single" w:color="000000" w:sz="4" w:space="0"/>
              <w:right w:val="single" w:color="000000" w:sz="4" w:space="0"/>
            </w:tcBorders>
            <w:shd w:val="clear" w:color="auto" w:fill="FFFFFF"/>
            <w:vAlign w:val="center"/>
          </w:tcPr>
          <w:p w14:paraId="44DC0A75">
            <w:pPr>
              <w:jc w:val="center"/>
              <w:rPr>
                <w:rFonts w:ascii="宋体" w:hAnsi="宋体" w:cs="宋体"/>
                <w:color w:val="000000"/>
                <w:sz w:val="20"/>
                <w:szCs w:val="20"/>
              </w:rPr>
            </w:pPr>
          </w:p>
        </w:tc>
      </w:tr>
      <w:tr w14:paraId="31D8F880">
        <w:tblPrEx>
          <w:tblCellMar>
            <w:top w:w="0" w:type="dxa"/>
            <w:left w:w="108" w:type="dxa"/>
            <w:bottom w:w="0" w:type="dxa"/>
            <w:right w:w="108" w:type="dxa"/>
          </w:tblCellMar>
        </w:tblPrEx>
        <w:trPr>
          <w:trHeight w:val="90" w:hRule="atLeast"/>
        </w:trPr>
        <w:tc>
          <w:tcPr>
            <w:tcW w:w="214" w:type="pct"/>
            <w:tcBorders>
              <w:top w:val="nil"/>
              <w:left w:val="single" w:color="000000" w:sz="4" w:space="0"/>
              <w:bottom w:val="single" w:color="000000" w:sz="4" w:space="0"/>
              <w:right w:val="single" w:color="000000" w:sz="4" w:space="0"/>
            </w:tcBorders>
            <w:shd w:val="clear" w:color="auto" w:fill="auto"/>
            <w:vAlign w:val="center"/>
          </w:tcPr>
          <w:p w14:paraId="6A4D55A3">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784" w:type="pct"/>
            <w:tcBorders>
              <w:top w:val="nil"/>
              <w:left w:val="single" w:color="000000" w:sz="4" w:space="0"/>
              <w:bottom w:val="single" w:color="000000" w:sz="4" w:space="0"/>
              <w:right w:val="single" w:color="000000" w:sz="4" w:space="0"/>
            </w:tcBorders>
            <w:shd w:val="clear" w:color="auto" w:fill="auto"/>
            <w:vAlign w:val="center"/>
          </w:tcPr>
          <w:p w14:paraId="665DCF12">
            <w:pPr>
              <w:widowControl/>
              <w:jc w:val="center"/>
              <w:textAlignment w:val="center"/>
              <w:rPr>
                <w:rFonts w:ascii="宋体" w:hAnsi="宋体" w:cs="宋体"/>
                <w:color w:val="000000"/>
                <w:sz w:val="20"/>
                <w:szCs w:val="20"/>
              </w:rPr>
            </w:pPr>
            <w:r>
              <w:rPr>
                <w:rFonts w:hint="eastAsia" w:ascii="宋体" w:hAnsi="宋体" w:cs="宋体"/>
                <w:color w:val="000000"/>
                <w:sz w:val="20"/>
                <w:szCs w:val="20"/>
              </w:rPr>
              <w:t>智能称重地磅及配套设施</w:t>
            </w:r>
          </w:p>
        </w:tc>
        <w:tc>
          <w:tcPr>
            <w:tcW w:w="761" w:type="pct"/>
            <w:tcBorders>
              <w:top w:val="nil"/>
              <w:left w:val="single" w:color="000000" w:sz="4" w:space="0"/>
              <w:bottom w:val="single" w:color="000000" w:sz="4" w:space="0"/>
              <w:right w:val="single" w:color="000000" w:sz="4" w:space="0"/>
            </w:tcBorders>
            <w:shd w:val="clear" w:color="auto" w:fill="auto"/>
            <w:vAlign w:val="center"/>
          </w:tcPr>
          <w:p w14:paraId="44ED3913">
            <w:pPr>
              <w:widowControl/>
              <w:jc w:val="center"/>
              <w:textAlignment w:val="center"/>
              <w:rPr>
                <w:rFonts w:ascii="宋体" w:hAnsi="宋体" w:cs="宋体"/>
                <w:color w:val="000000"/>
                <w:kern w:val="0"/>
                <w:sz w:val="20"/>
                <w:szCs w:val="20"/>
              </w:rPr>
            </w:pPr>
          </w:p>
        </w:tc>
        <w:tc>
          <w:tcPr>
            <w:tcW w:w="756" w:type="pct"/>
            <w:tcBorders>
              <w:top w:val="nil"/>
              <w:left w:val="single" w:color="000000" w:sz="4" w:space="0"/>
              <w:bottom w:val="single" w:color="000000" w:sz="4" w:space="0"/>
              <w:right w:val="single" w:color="000000" w:sz="4" w:space="0"/>
            </w:tcBorders>
            <w:shd w:val="clear" w:color="auto" w:fill="auto"/>
            <w:vAlign w:val="center"/>
          </w:tcPr>
          <w:p w14:paraId="2660F1B8">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752A">
            <w:pPr>
              <w:widowControl/>
              <w:jc w:val="center"/>
              <w:textAlignment w:val="center"/>
              <w:rPr>
                <w:rFonts w:ascii="宋体" w:hAnsi="宋体" w:cs="宋体"/>
                <w:color w:val="000000"/>
                <w:kern w:val="0"/>
                <w:sz w:val="20"/>
                <w:szCs w:val="20"/>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5ED4">
            <w:pPr>
              <w:widowControl/>
              <w:jc w:val="center"/>
              <w:textAlignment w:val="center"/>
              <w:rPr>
                <w:rFonts w:ascii="宋体" w:hAnsi="宋体" w:cs="宋体"/>
                <w:color w:val="000000"/>
                <w:kern w:val="0"/>
                <w:sz w:val="20"/>
                <w:szCs w:val="20"/>
              </w:rPr>
            </w:pPr>
          </w:p>
        </w:tc>
        <w:tc>
          <w:tcPr>
            <w:tcW w:w="387" w:type="pct"/>
            <w:tcBorders>
              <w:top w:val="nil"/>
              <w:left w:val="single" w:color="000000" w:sz="4" w:space="0"/>
              <w:bottom w:val="single" w:color="000000" w:sz="4" w:space="0"/>
              <w:right w:val="single" w:color="000000" w:sz="4" w:space="0"/>
            </w:tcBorders>
            <w:shd w:val="clear" w:color="auto" w:fill="FFFFFF"/>
            <w:vAlign w:val="center"/>
          </w:tcPr>
          <w:p w14:paraId="76802C21">
            <w:pPr>
              <w:jc w:val="center"/>
              <w:rPr>
                <w:rFonts w:ascii="宋体" w:hAnsi="宋体" w:cs="宋体"/>
                <w:color w:val="000000"/>
                <w:sz w:val="20"/>
                <w:szCs w:val="20"/>
              </w:rPr>
            </w:pPr>
          </w:p>
        </w:tc>
      </w:tr>
      <w:tr w14:paraId="4FF79F0C">
        <w:tblPrEx>
          <w:tblCellMar>
            <w:top w:w="0" w:type="dxa"/>
            <w:left w:w="108" w:type="dxa"/>
            <w:bottom w:w="0" w:type="dxa"/>
            <w:right w:w="108" w:type="dxa"/>
          </w:tblCellMar>
        </w:tblPrEx>
        <w:trPr>
          <w:trHeight w:val="460" w:hRule="atLeast"/>
        </w:trPr>
        <w:tc>
          <w:tcPr>
            <w:tcW w:w="214" w:type="pct"/>
            <w:tcBorders>
              <w:top w:val="nil"/>
              <w:left w:val="single" w:color="000000" w:sz="4" w:space="0"/>
              <w:bottom w:val="single" w:color="000000" w:sz="4" w:space="0"/>
              <w:right w:val="single" w:color="000000" w:sz="4" w:space="0"/>
            </w:tcBorders>
            <w:shd w:val="clear" w:color="auto" w:fill="auto"/>
            <w:vAlign w:val="center"/>
          </w:tcPr>
          <w:p w14:paraId="4ECB6D57">
            <w:pPr>
              <w:widowControl/>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784" w:type="pct"/>
            <w:tcBorders>
              <w:top w:val="nil"/>
              <w:left w:val="single" w:color="000000" w:sz="4" w:space="0"/>
              <w:bottom w:val="single" w:color="000000" w:sz="4" w:space="0"/>
              <w:right w:val="single" w:color="000000" w:sz="4" w:space="0"/>
            </w:tcBorders>
            <w:shd w:val="clear" w:color="auto" w:fill="auto"/>
            <w:vAlign w:val="center"/>
          </w:tcPr>
          <w:p w14:paraId="1ADD82A6">
            <w:pPr>
              <w:widowControl/>
              <w:jc w:val="center"/>
              <w:textAlignment w:val="center"/>
              <w:rPr>
                <w:rFonts w:ascii="宋体" w:hAnsi="宋体" w:cs="宋体"/>
                <w:color w:val="000000"/>
                <w:sz w:val="20"/>
                <w:szCs w:val="20"/>
              </w:rPr>
            </w:pPr>
            <w:r>
              <w:rPr>
                <w:rFonts w:hint="eastAsia" w:ascii="宋体" w:hAnsi="宋体" w:cs="宋体"/>
                <w:color w:val="000000"/>
                <w:sz w:val="20"/>
                <w:szCs w:val="20"/>
              </w:rPr>
              <w:t>危废标签纸</w:t>
            </w:r>
          </w:p>
        </w:tc>
        <w:tc>
          <w:tcPr>
            <w:tcW w:w="1517" w:type="pct"/>
            <w:gridSpan w:val="2"/>
            <w:tcBorders>
              <w:top w:val="nil"/>
              <w:left w:val="single" w:color="000000" w:sz="4" w:space="0"/>
              <w:bottom w:val="single" w:color="000000" w:sz="4" w:space="0"/>
              <w:right w:val="single" w:color="000000" w:sz="4" w:space="0"/>
            </w:tcBorders>
            <w:shd w:val="clear" w:color="auto" w:fill="auto"/>
            <w:vAlign w:val="center"/>
          </w:tcPr>
          <w:p w14:paraId="1D0A9E84">
            <w:pPr>
              <w:widowControl/>
              <w:jc w:val="center"/>
              <w:textAlignment w:val="center"/>
              <w:rPr>
                <w:rFonts w:ascii="宋体" w:hAnsi="宋体" w:cs="宋体"/>
                <w:color w:val="000000"/>
                <w:sz w:val="20"/>
                <w:szCs w:val="20"/>
              </w:rPr>
            </w:pPr>
            <w:r>
              <w:rPr>
                <w:rFonts w:hint="eastAsia" w:ascii="宋体" w:hAnsi="宋体" w:cs="宋体"/>
              </w:rPr>
              <w:t>150mm×150mm打印纸1000张、200mm×200mm打印纸4000张</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E656">
            <w:pPr>
              <w:widowControl/>
              <w:jc w:val="center"/>
              <w:textAlignment w:val="center"/>
              <w:rPr>
                <w:rFonts w:ascii="宋体" w:hAnsi="宋体" w:cs="宋体"/>
                <w:color w:val="000000"/>
                <w:sz w:val="20"/>
                <w:szCs w:val="20"/>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4DFA">
            <w:pPr>
              <w:widowControl/>
              <w:jc w:val="center"/>
              <w:textAlignment w:val="center"/>
              <w:rPr>
                <w:rFonts w:ascii="宋体" w:hAnsi="宋体" w:cs="宋体"/>
                <w:color w:val="000000"/>
                <w:sz w:val="20"/>
                <w:szCs w:val="20"/>
              </w:rPr>
            </w:pPr>
          </w:p>
        </w:tc>
        <w:tc>
          <w:tcPr>
            <w:tcW w:w="387" w:type="pct"/>
            <w:tcBorders>
              <w:top w:val="nil"/>
              <w:left w:val="single" w:color="000000" w:sz="4" w:space="0"/>
              <w:bottom w:val="single" w:color="000000" w:sz="4" w:space="0"/>
              <w:right w:val="single" w:color="000000" w:sz="4" w:space="0"/>
            </w:tcBorders>
            <w:shd w:val="clear" w:color="auto" w:fill="FFFFFF"/>
            <w:vAlign w:val="center"/>
          </w:tcPr>
          <w:p w14:paraId="4E48CD45">
            <w:pPr>
              <w:jc w:val="center"/>
              <w:rPr>
                <w:rFonts w:ascii="宋体" w:hAnsi="宋体" w:cs="宋体"/>
                <w:color w:val="000000"/>
                <w:sz w:val="20"/>
                <w:szCs w:val="20"/>
              </w:rPr>
            </w:pPr>
          </w:p>
        </w:tc>
      </w:tr>
      <w:tr w14:paraId="11AC590F">
        <w:tblPrEx>
          <w:tblCellMar>
            <w:top w:w="0" w:type="dxa"/>
            <w:left w:w="108" w:type="dxa"/>
            <w:bottom w:w="0" w:type="dxa"/>
            <w:right w:w="108" w:type="dxa"/>
          </w:tblCellMar>
        </w:tblPrEx>
        <w:trPr>
          <w:trHeight w:val="460" w:hRule="atLeast"/>
        </w:trPr>
        <w:tc>
          <w:tcPr>
            <w:tcW w:w="214" w:type="pct"/>
            <w:tcBorders>
              <w:top w:val="nil"/>
              <w:left w:val="single" w:color="000000" w:sz="4" w:space="0"/>
              <w:bottom w:val="single" w:color="000000" w:sz="4" w:space="0"/>
              <w:right w:val="single" w:color="000000" w:sz="4" w:space="0"/>
            </w:tcBorders>
            <w:shd w:val="clear" w:color="auto" w:fill="auto"/>
            <w:vAlign w:val="center"/>
          </w:tcPr>
          <w:p w14:paraId="5D1E2BE8">
            <w:pPr>
              <w:widowControl/>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784" w:type="pct"/>
            <w:tcBorders>
              <w:top w:val="nil"/>
              <w:left w:val="single" w:color="000000" w:sz="4" w:space="0"/>
              <w:bottom w:val="single" w:color="000000" w:sz="4" w:space="0"/>
              <w:right w:val="single" w:color="000000" w:sz="4" w:space="0"/>
            </w:tcBorders>
            <w:shd w:val="clear" w:color="auto" w:fill="auto"/>
            <w:vAlign w:val="center"/>
          </w:tcPr>
          <w:p w14:paraId="59A5964A">
            <w:pPr>
              <w:widowControl/>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首年免费服务后，后续五年运维服务费</w:t>
            </w:r>
          </w:p>
        </w:tc>
        <w:tc>
          <w:tcPr>
            <w:tcW w:w="761" w:type="pct"/>
            <w:tcBorders>
              <w:top w:val="nil"/>
              <w:left w:val="single" w:color="000000" w:sz="4" w:space="0"/>
              <w:bottom w:val="single" w:color="000000" w:sz="4" w:space="0"/>
              <w:right w:val="single" w:color="000000" w:sz="4" w:space="0"/>
            </w:tcBorders>
            <w:shd w:val="clear" w:color="auto" w:fill="auto"/>
            <w:vAlign w:val="center"/>
          </w:tcPr>
          <w:p w14:paraId="2155C85D">
            <w:pPr>
              <w:widowControl/>
              <w:jc w:val="center"/>
              <w:textAlignment w:val="center"/>
              <w:rPr>
                <w:rFonts w:ascii="宋体" w:hAnsi="宋体" w:cs="宋体"/>
                <w:color w:val="000000"/>
                <w:kern w:val="0"/>
                <w:sz w:val="20"/>
                <w:szCs w:val="20"/>
              </w:rPr>
            </w:pPr>
          </w:p>
        </w:tc>
        <w:tc>
          <w:tcPr>
            <w:tcW w:w="756" w:type="pct"/>
            <w:tcBorders>
              <w:top w:val="nil"/>
              <w:left w:val="single" w:color="000000" w:sz="4" w:space="0"/>
              <w:bottom w:val="single" w:color="000000" w:sz="4" w:space="0"/>
              <w:right w:val="single" w:color="000000" w:sz="4" w:space="0"/>
            </w:tcBorders>
            <w:shd w:val="clear" w:color="auto" w:fill="auto"/>
            <w:vAlign w:val="center"/>
          </w:tcPr>
          <w:p w14:paraId="0A6B1172">
            <w:pPr>
              <w:widowControl/>
              <w:jc w:val="center"/>
              <w:textAlignment w:val="center"/>
              <w:rPr>
                <w:rFonts w:ascii="宋体" w:hAnsi="宋体" w:cs="宋体"/>
                <w:color w:val="000000"/>
                <w:kern w:val="0"/>
                <w:sz w:val="20"/>
                <w:szCs w:val="20"/>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749A">
            <w:pPr>
              <w:widowControl/>
              <w:jc w:val="center"/>
              <w:textAlignment w:val="center"/>
              <w:rPr>
                <w:rFonts w:ascii="宋体" w:hAnsi="宋体" w:cs="宋体"/>
                <w:color w:val="000000"/>
                <w:kern w:val="0"/>
                <w:sz w:val="20"/>
                <w:szCs w:val="20"/>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5998">
            <w:pPr>
              <w:widowControl/>
              <w:jc w:val="center"/>
              <w:textAlignment w:val="center"/>
              <w:rPr>
                <w:rFonts w:ascii="宋体" w:hAnsi="宋体" w:cs="宋体"/>
                <w:color w:val="000000"/>
                <w:kern w:val="0"/>
                <w:sz w:val="20"/>
                <w:szCs w:val="20"/>
              </w:rPr>
            </w:pPr>
          </w:p>
        </w:tc>
        <w:tc>
          <w:tcPr>
            <w:tcW w:w="387" w:type="pct"/>
            <w:tcBorders>
              <w:top w:val="nil"/>
              <w:left w:val="single" w:color="000000" w:sz="4" w:space="0"/>
              <w:bottom w:val="single" w:color="000000" w:sz="4" w:space="0"/>
              <w:right w:val="single" w:color="000000" w:sz="4" w:space="0"/>
            </w:tcBorders>
            <w:shd w:val="clear" w:color="auto" w:fill="FFFFFF"/>
            <w:vAlign w:val="center"/>
          </w:tcPr>
          <w:p w14:paraId="1BC6E0C9">
            <w:pPr>
              <w:jc w:val="center"/>
              <w:rPr>
                <w:rFonts w:ascii="宋体" w:hAnsi="宋体" w:cs="宋体"/>
                <w:color w:val="000000"/>
                <w:sz w:val="20"/>
                <w:szCs w:val="20"/>
              </w:rPr>
            </w:pPr>
          </w:p>
        </w:tc>
      </w:tr>
      <w:tr w14:paraId="3A1594E8">
        <w:tblPrEx>
          <w:tblCellMar>
            <w:top w:w="0" w:type="dxa"/>
            <w:left w:w="108" w:type="dxa"/>
            <w:bottom w:w="0" w:type="dxa"/>
            <w:right w:w="108" w:type="dxa"/>
          </w:tblCellMar>
        </w:tblPrEx>
        <w:trPr>
          <w:trHeight w:val="460" w:hRule="atLeast"/>
        </w:trPr>
        <w:tc>
          <w:tcPr>
            <w:tcW w:w="214" w:type="pct"/>
            <w:tcBorders>
              <w:top w:val="nil"/>
              <w:left w:val="single" w:color="000000" w:sz="4" w:space="0"/>
              <w:bottom w:val="single" w:color="000000" w:sz="4" w:space="0"/>
              <w:right w:val="single" w:color="000000" w:sz="4" w:space="0"/>
            </w:tcBorders>
            <w:shd w:val="clear" w:color="auto" w:fill="auto"/>
            <w:vAlign w:val="center"/>
          </w:tcPr>
          <w:p w14:paraId="78B60047">
            <w:pPr>
              <w:widowControl/>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36F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合计</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D3ED">
            <w:pPr>
              <w:jc w:val="center"/>
              <w:rPr>
                <w:rFonts w:ascii="宋体" w:hAnsi="宋体" w:cs="宋体"/>
                <w:color w:val="000000"/>
                <w:sz w:val="20"/>
                <w:szCs w:val="20"/>
              </w:rPr>
            </w:pP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3D4F">
            <w:pPr>
              <w:jc w:val="center"/>
              <w:rPr>
                <w:rFonts w:ascii="宋体" w:hAnsi="宋体" w:cs="宋体"/>
                <w:color w:val="000000"/>
                <w:sz w:val="20"/>
                <w:szCs w:val="20"/>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CED2">
            <w:pPr>
              <w:jc w:val="center"/>
              <w:rPr>
                <w:rFonts w:ascii="宋体" w:hAnsi="宋体" w:cs="宋体"/>
                <w:color w:val="000000"/>
                <w:sz w:val="20"/>
                <w:szCs w:val="20"/>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FF29C">
            <w:pPr>
              <w:widowControl/>
              <w:jc w:val="center"/>
              <w:textAlignment w:val="center"/>
              <w:rPr>
                <w:rFonts w:ascii="宋体" w:hAnsi="宋体" w:cs="宋体"/>
                <w:color w:val="000000"/>
                <w:sz w:val="20"/>
                <w:szCs w:val="20"/>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35C2B">
            <w:pPr>
              <w:jc w:val="center"/>
              <w:rPr>
                <w:rFonts w:ascii="宋体" w:hAnsi="宋体" w:cs="宋体"/>
                <w:color w:val="000000"/>
                <w:sz w:val="20"/>
                <w:szCs w:val="20"/>
              </w:rPr>
            </w:pPr>
          </w:p>
        </w:tc>
      </w:tr>
    </w:tbl>
    <w:p w14:paraId="4684A730">
      <w:pPr>
        <w:pStyle w:val="2"/>
        <w:rPr>
          <w:rFonts w:cs="宋体"/>
          <w:b/>
          <w:bCs/>
          <w:sz w:val="24"/>
          <w:szCs w:val="24"/>
        </w:rPr>
      </w:pPr>
    </w:p>
    <w:p w14:paraId="5B11A67C">
      <w:pPr>
        <w:pStyle w:val="2"/>
        <w:rPr>
          <w:rFonts w:cs="宋体"/>
          <w:b/>
          <w:bCs/>
          <w:sz w:val="24"/>
          <w:szCs w:val="24"/>
        </w:rPr>
      </w:pPr>
    </w:p>
    <w:p w14:paraId="5AD45F73">
      <w:pPr>
        <w:pStyle w:val="2"/>
        <w:ind w:left="0"/>
        <w:rPr>
          <w:rFonts w:cs="宋体"/>
          <w:b/>
          <w:bCs/>
          <w:sz w:val="24"/>
          <w:szCs w:val="24"/>
        </w:rPr>
      </w:pPr>
      <w:r>
        <w:rPr>
          <w:rFonts w:hint="eastAsia" w:cs="宋体"/>
          <w:b/>
          <w:bCs/>
          <w:sz w:val="24"/>
          <w:szCs w:val="24"/>
        </w:rPr>
        <w:t>4、</w:t>
      </w:r>
    </w:p>
    <w:tbl>
      <w:tblPr>
        <w:tblStyle w:val="23"/>
        <w:tblW w:w="10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164"/>
        <w:gridCol w:w="2269"/>
        <w:gridCol w:w="731"/>
        <w:gridCol w:w="819"/>
        <w:gridCol w:w="1261"/>
        <w:gridCol w:w="1071"/>
      </w:tblGrid>
      <w:tr w14:paraId="767F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98" w:type="dxa"/>
            <w:vAlign w:val="center"/>
          </w:tcPr>
          <w:p w14:paraId="489012D6">
            <w:pPr>
              <w:jc w:val="center"/>
              <w:rPr>
                <w:b/>
                <w:bCs/>
              </w:rPr>
            </w:pPr>
            <w:r>
              <w:rPr>
                <w:rFonts w:hint="eastAsia"/>
                <w:b/>
                <w:bCs/>
              </w:rPr>
              <w:t>序号</w:t>
            </w:r>
          </w:p>
        </w:tc>
        <w:tc>
          <w:tcPr>
            <w:tcW w:w="3164" w:type="dxa"/>
            <w:vAlign w:val="center"/>
          </w:tcPr>
          <w:p w14:paraId="14DFB9A1">
            <w:pPr>
              <w:jc w:val="center"/>
              <w:rPr>
                <w:rFonts w:eastAsiaTheme="minorEastAsia"/>
                <w:b/>
                <w:bCs/>
              </w:rPr>
            </w:pPr>
            <w:r>
              <w:rPr>
                <w:rFonts w:hint="eastAsia"/>
                <w:b/>
                <w:bCs/>
              </w:rPr>
              <w:t>项目地点</w:t>
            </w:r>
          </w:p>
        </w:tc>
        <w:tc>
          <w:tcPr>
            <w:tcW w:w="2269" w:type="dxa"/>
          </w:tcPr>
          <w:p w14:paraId="47BC6190">
            <w:pPr>
              <w:pStyle w:val="45"/>
              <w:ind w:left="8" w:firstLine="845" w:firstLineChars="401"/>
              <w:rPr>
                <w:b/>
                <w:bCs/>
              </w:rPr>
            </w:pPr>
            <w:r>
              <w:rPr>
                <w:rFonts w:hint="eastAsia"/>
                <w:b/>
                <w:bCs/>
              </w:rPr>
              <w:t>项目名称</w:t>
            </w:r>
          </w:p>
        </w:tc>
        <w:tc>
          <w:tcPr>
            <w:tcW w:w="731" w:type="dxa"/>
            <w:vAlign w:val="center"/>
          </w:tcPr>
          <w:p w14:paraId="3ABFEE3A">
            <w:pPr>
              <w:jc w:val="center"/>
              <w:rPr>
                <w:b/>
                <w:bCs/>
              </w:rPr>
            </w:pPr>
            <w:r>
              <w:rPr>
                <w:rFonts w:hint="eastAsia"/>
                <w:b/>
                <w:bCs/>
              </w:rPr>
              <w:t>数量</w:t>
            </w:r>
          </w:p>
        </w:tc>
        <w:tc>
          <w:tcPr>
            <w:tcW w:w="819" w:type="dxa"/>
            <w:vAlign w:val="center"/>
          </w:tcPr>
          <w:p w14:paraId="117E3494">
            <w:pPr>
              <w:jc w:val="center"/>
              <w:rPr>
                <w:b/>
                <w:bCs/>
              </w:rPr>
            </w:pPr>
            <w:r>
              <w:rPr>
                <w:rFonts w:hint="eastAsia"/>
                <w:b/>
                <w:bCs/>
              </w:rPr>
              <w:t>单位</w:t>
            </w:r>
          </w:p>
        </w:tc>
        <w:tc>
          <w:tcPr>
            <w:tcW w:w="1261" w:type="dxa"/>
            <w:vAlign w:val="center"/>
          </w:tcPr>
          <w:p w14:paraId="42423C7F">
            <w:pPr>
              <w:jc w:val="center"/>
              <w:rPr>
                <w:b/>
                <w:bCs/>
              </w:rPr>
            </w:pPr>
            <w:r>
              <w:rPr>
                <w:rFonts w:hint="eastAsia"/>
                <w:b/>
                <w:bCs/>
              </w:rPr>
              <w:t>包干单价</w:t>
            </w:r>
          </w:p>
          <w:p w14:paraId="4787F2DA">
            <w:pPr>
              <w:jc w:val="center"/>
              <w:rPr>
                <w:b/>
                <w:bCs/>
              </w:rPr>
            </w:pPr>
            <w:r>
              <w:rPr>
                <w:rFonts w:hint="eastAsia"/>
                <w:b/>
                <w:bCs/>
              </w:rPr>
              <w:t>（元/）</w:t>
            </w:r>
          </w:p>
        </w:tc>
        <w:tc>
          <w:tcPr>
            <w:tcW w:w="1071" w:type="dxa"/>
            <w:vAlign w:val="center"/>
          </w:tcPr>
          <w:p w14:paraId="750F3807">
            <w:pPr>
              <w:jc w:val="center"/>
              <w:rPr>
                <w:b/>
                <w:bCs/>
              </w:rPr>
            </w:pPr>
            <w:r>
              <w:rPr>
                <w:rFonts w:hint="eastAsia"/>
                <w:b/>
                <w:bCs/>
              </w:rPr>
              <w:t>合计</w:t>
            </w:r>
          </w:p>
          <w:p w14:paraId="2F541D67">
            <w:pPr>
              <w:jc w:val="center"/>
              <w:rPr>
                <w:rFonts w:eastAsiaTheme="minorEastAsia"/>
                <w:b/>
                <w:bCs/>
              </w:rPr>
            </w:pPr>
            <w:r>
              <w:rPr>
                <w:rFonts w:hint="eastAsia"/>
                <w:b/>
                <w:bCs/>
              </w:rPr>
              <w:t>（元）</w:t>
            </w:r>
          </w:p>
        </w:tc>
      </w:tr>
      <w:tr w14:paraId="27BC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98" w:type="dxa"/>
            <w:vAlign w:val="center"/>
          </w:tcPr>
          <w:p w14:paraId="42FB9C56">
            <w:pPr>
              <w:jc w:val="center"/>
              <w:rPr>
                <w:rFonts w:eastAsiaTheme="minorEastAsia"/>
              </w:rPr>
            </w:pPr>
            <w:r>
              <w:rPr>
                <w:rFonts w:hint="eastAsia"/>
              </w:rPr>
              <w:t>1</w:t>
            </w:r>
          </w:p>
        </w:tc>
        <w:tc>
          <w:tcPr>
            <w:tcW w:w="3164" w:type="dxa"/>
            <w:vAlign w:val="center"/>
          </w:tcPr>
          <w:p w14:paraId="3FE9CD78">
            <w:pPr>
              <w:jc w:val="center"/>
            </w:pPr>
            <w:r>
              <w:rPr>
                <w:rFonts w:hint="eastAsia"/>
              </w:rPr>
              <w:t>福建福海创石油化工有限公司</w:t>
            </w:r>
          </w:p>
          <w:p w14:paraId="3EF26772">
            <w:pPr>
              <w:jc w:val="center"/>
              <w:rPr>
                <w:rFonts w:eastAsiaTheme="minorEastAsia"/>
              </w:rPr>
            </w:pPr>
            <w:r>
              <w:rPr>
                <w:rFonts w:hint="eastAsia"/>
              </w:rPr>
              <w:t>(PTA厂区)</w:t>
            </w:r>
          </w:p>
        </w:tc>
        <w:tc>
          <w:tcPr>
            <w:tcW w:w="2269" w:type="dxa"/>
            <w:vMerge w:val="restart"/>
            <w:vAlign w:val="center"/>
          </w:tcPr>
          <w:p w14:paraId="2F681248">
            <w:r>
              <w:rPr>
                <w:rFonts w:hint="eastAsia"/>
              </w:rPr>
              <w:t>首年提供系统免费维保服务到期后，后续系统需继续提供五年维保技术服务费用</w:t>
            </w:r>
          </w:p>
        </w:tc>
        <w:tc>
          <w:tcPr>
            <w:tcW w:w="731" w:type="dxa"/>
            <w:vAlign w:val="center"/>
          </w:tcPr>
          <w:p w14:paraId="336FE153">
            <w:pPr>
              <w:ind w:firstLine="218" w:firstLineChars="104"/>
            </w:pPr>
            <w:r>
              <w:rPr>
                <w:rFonts w:hint="eastAsia"/>
              </w:rPr>
              <w:t>5</w:t>
            </w:r>
          </w:p>
        </w:tc>
        <w:tc>
          <w:tcPr>
            <w:tcW w:w="819" w:type="dxa"/>
            <w:vAlign w:val="center"/>
          </w:tcPr>
          <w:p w14:paraId="7377BD17">
            <w:pPr>
              <w:ind w:firstLine="218" w:firstLineChars="104"/>
            </w:pPr>
            <w:r>
              <w:rPr>
                <w:rFonts w:hint="eastAsia"/>
              </w:rPr>
              <w:t>年</w:t>
            </w:r>
          </w:p>
        </w:tc>
        <w:tc>
          <w:tcPr>
            <w:tcW w:w="1261" w:type="dxa"/>
            <w:vAlign w:val="center"/>
          </w:tcPr>
          <w:p w14:paraId="08176A99">
            <w:pPr>
              <w:ind w:firstLine="218" w:firstLineChars="104"/>
              <w:rPr>
                <w:rFonts w:eastAsiaTheme="minorEastAsia"/>
              </w:rPr>
            </w:pPr>
          </w:p>
        </w:tc>
        <w:tc>
          <w:tcPr>
            <w:tcW w:w="1071" w:type="dxa"/>
            <w:vAlign w:val="center"/>
          </w:tcPr>
          <w:p w14:paraId="73019C1A">
            <w:pPr>
              <w:ind w:firstLine="218" w:firstLineChars="104"/>
              <w:rPr>
                <w:rFonts w:eastAsiaTheme="minorEastAsia"/>
              </w:rPr>
            </w:pPr>
          </w:p>
        </w:tc>
      </w:tr>
      <w:tr w14:paraId="4632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98" w:type="dxa"/>
            <w:vAlign w:val="center"/>
          </w:tcPr>
          <w:p w14:paraId="766D61DB">
            <w:pPr>
              <w:jc w:val="center"/>
            </w:pPr>
            <w:r>
              <w:rPr>
                <w:rFonts w:hint="eastAsia"/>
              </w:rPr>
              <w:t>2</w:t>
            </w:r>
          </w:p>
        </w:tc>
        <w:tc>
          <w:tcPr>
            <w:tcW w:w="3164" w:type="dxa"/>
            <w:vAlign w:val="center"/>
          </w:tcPr>
          <w:p w14:paraId="2A5B2CBF">
            <w:pPr>
              <w:jc w:val="center"/>
            </w:pPr>
            <w:r>
              <w:rPr>
                <w:rFonts w:hint="eastAsia"/>
              </w:rPr>
              <w:t>腾龙芳烃（漳州）有限公司</w:t>
            </w:r>
          </w:p>
          <w:p w14:paraId="32504B14">
            <w:pPr>
              <w:jc w:val="center"/>
            </w:pPr>
            <w:r>
              <w:rPr>
                <w:rFonts w:hint="eastAsia"/>
              </w:rPr>
              <w:t>(PX厂区)</w:t>
            </w:r>
          </w:p>
        </w:tc>
        <w:tc>
          <w:tcPr>
            <w:tcW w:w="2269" w:type="dxa"/>
            <w:vMerge w:val="continue"/>
            <w:vAlign w:val="center"/>
          </w:tcPr>
          <w:p w14:paraId="65AB9A44">
            <w:pPr>
              <w:ind w:firstLine="218" w:firstLineChars="104"/>
            </w:pPr>
          </w:p>
        </w:tc>
        <w:tc>
          <w:tcPr>
            <w:tcW w:w="731" w:type="dxa"/>
            <w:vAlign w:val="center"/>
          </w:tcPr>
          <w:p w14:paraId="0A4A9DBC">
            <w:pPr>
              <w:ind w:firstLine="218" w:firstLineChars="104"/>
            </w:pPr>
            <w:r>
              <w:rPr>
                <w:rFonts w:hint="eastAsia"/>
              </w:rPr>
              <w:t>5</w:t>
            </w:r>
          </w:p>
        </w:tc>
        <w:tc>
          <w:tcPr>
            <w:tcW w:w="819" w:type="dxa"/>
            <w:vAlign w:val="center"/>
          </w:tcPr>
          <w:p w14:paraId="0EF3BF71">
            <w:pPr>
              <w:ind w:firstLine="218" w:firstLineChars="104"/>
            </w:pPr>
            <w:r>
              <w:rPr>
                <w:rFonts w:hint="eastAsia"/>
              </w:rPr>
              <w:t>年</w:t>
            </w:r>
          </w:p>
        </w:tc>
        <w:tc>
          <w:tcPr>
            <w:tcW w:w="1261" w:type="dxa"/>
            <w:vAlign w:val="center"/>
          </w:tcPr>
          <w:p w14:paraId="7D3CD5D6">
            <w:pPr>
              <w:ind w:firstLine="218" w:firstLineChars="104"/>
            </w:pPr>
          </w:p>
        </w:tc>
        <w:tc>
          <w:tcPr>
            <w:tcW w:w="1071" w:type="dxa"/>
            <w:vAlign w:val="center"/>
          </w:tcPr>
          <w:p w14:paraId="6A611259">
            <w:pPr>
              <w:ind w:firstLine="218" w:firstLineChars="104"/>
            </w:pPr>
          </w:p>
        </w:tc>
      </w:tr>
      <w:tr w14:paraId="48B5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98" w:type="dxa"/>
            <w:vAlign w:val="center"/>
          </w:tcPr>
          <w:p w14:paraId="0E9D5EF9">
            <w:pPr>
              <w:jc w:val="center"/>
            </w:pPr>
            <w:r>
              <w:rPr>
                <w:rFonts w:hint="eastAsia"/>
              </w:rPr>
              <w:t>3</w:t>
            </w:r>
          </w:p>
        </w:tc>
        <w:tc>
          <w:tcPr>
            <w:tcW w:w="3164" w:type="dxa"/>
            <w:vAlign w:val="center"/>
          </w:tcPr>
          <w:p w14:paraId="45AA6C39">
            <w:pPr>
              <w:jc w:val="center"/>
            </w:pPr>
            <w:r>
              <w:rPr>
                <w:rFonts w:hint="eastAsia"/>
              </w:rPr>
              <w:t>福建省福化古蕾化学有限公司</w:t>
            </w:r>
          </w:p>
          <w:p w14:paraId="5EC5E62A">
            <w:pPr>
              <w:jc w:val="center"/>
            </w:pPr>
            <w:r>
              <w:rPr>
                <w:rFonts w:hint="eastAsia"/>
              </w:rPr>
              <w:t>（苯酐厂区）</w:t>
            </w:r>
          </w:p>
        </w:tc>
        <w:tc>
          <w:tcPr>
            <w:tcW w:w="2269" w:type="dxa"/>
            <w:vMerge w:val="continue"/>
            <w:vAlign w:val="center"/>
          </w:tcPr>
          <w:p w14:paraId="621544BF">
            <w:pPr>
              <w:ind w:firstLine="218" w:firstLineChars="104"/>
            </w:pPr>
          </w:p>
        </w:tc>
        <w:tc>
          <w:tcPr>
            <w:tcW w:w="731" w:type="dxa"/>
            <w:vAlign w:val="center"/>
          </w:tcPr>
          <w:p w14:paraId="15776C35">
            <w:pPr>
              <w:ind w:firstLine="218" w:firstLineChars="104"/>
            </w:pPr>
            <w:r>
              <w:rPr>
                <w:rFonts w:hint="eastAsia"/>
              </w:rPr>
              <w:t>5</w:t>
            </w:r>
          </w:p>
        </w:tc>
        <w:tc>
          <w:tcPr>
            <w:tcW w:w="819" w:type="dxa"/>
            <w:vAlign w:val="center"/>
          </w:tcPr>
          <w:p w14:paraId="2C6687DB">
            <w:pPr>
              <w:ind w:firstLine="218" w:firstLineChars="104"/>
            </w:pPr>
            <w:r>
              <w:rPr>
                <w:rFonts w:hint="eastAsia"/>
              </w:rPr>
              <w:t>年</w:t>
            </w:r>
          </w:p>
        </w:tc>
        <w:tc>
          <w:tcPr>
            <w:tcW w:w="1261" w:type="dxa"/>
            <w:vAlign w:val="center"/>
          </w:tcPr>
          <w:p w14:paraId="0F1D6090">
            <w:pPr>
              <w:ind w:firstLine="218" w:firstLineChars="104"/>
            </w:pPr>
          </w:p>
        </w:tc>
        <w:tc>
          <w:tcPr>
            <w:tcW w:w="1071" w:type="dxa"/>
            <w:vAlign w:val="center"/>
          </w:tcPr>
          <w:p w14:paraId="79F215FC">
            <w:pPr>
              <w:ind w:firstLine="218" w:firstLineChars="104"/>
            </w:pPr>
          </w:p>
        </w:tc>
      </w:tr>
    </w:tbl>
    <w:p w14:paraId="3656FB95">
      <w:pPr>
        <w:pStyle w:val="2"/>
        <w:ind w:left="0"/>
        <w:rPr>
          <w:rFonts w:cs="宋体"/>
          <w:b/>
          <w:bCs/>
          <w:sz w:val="24"/>
          <w:szCs w:val="24"/>
        </w:rPr>
      </w:pPr>
    </w:p>
    <w:p w14:paraId="31E9BEA6">
      <w:pPr>
        <w:spacing w:line="360" w:lineRule="auto"/>
        <w:ind w:firstLine="482" w:firstLineChars="200"/>
        <w:jc w:val="left"/>
        <w:rPr>
          <w:rFonts w:ascii="宋体" w:hAnsi="宋体" w:cs="宋体"/>
          <w:b/>
          <w:bCs/>
          <w:sz w:val="24"/>
          <w:szCs w:val="24"/>
        </w:rPr>
      </w:pPr>
      <w:r>
        <w:rPr>
          <w:rFonts w:hint="eastAsia" w:ascii="宋体" w:hAnsi="宋体" w:cs="宋体"/>
          <w:b/>
          <w:bCs/>
          <w:sz w:val="24"/>
          <w:szCs w:val="24"/>
        </w:rPr>
        <w:t>2</w:t>
      </w:r>
      <w:r>
        <w:rPr>
          <w:rFonts w:hint="eastAsia" w:ascii="宋体" w:hAnsi="宋体" w:cs="宋体"/>
          <w:sz w:val="24"/>
          <w:szCs w:val="24"/>
        </w:rPr>
        <w:t>、</w:t>
      </w:r>
      <w:r>
        <w:rPr>
          <w:rFonts w:hint="eastAsia" w:ascii="宋体" w:hAnsi="宋体" w:cs="宋体"/>
          <w:b/>
          <w:bCs/>
          <w:sz w:val="24"/>
          <w:szCs w:val="24"/>
        </w:rPr>
        <w:t>付款方式：</w:t>
      </w:r>
    </w:p>
    <w:p w14:paraId="5C2591ED">
      <w:pPr>
        <w:spacing w:line="360" w:lineRule="auto"/>
        <w:ind w:firstLine="480" w:firstLineChars="200"/>
        <w:jc w:val="left"/>
        <w:rPr>
          <w:rFonts w:ascii="宋体" w:hAnsi="宋体" w:cs="宋体"/>
          <w:sz w:val="24"/>
          <w:szCs w:val="24"/>
        </w:rPr>
      </w:pPr>
      <w:r>
        <w:rPr>
          <w:rFonts w:hint="eastAsia" w:ascii="宋体" w:hAnsi="宋体" w:cs="宋体"/>
          <w:sz w:val="24"/>
          <w:szCs w:val="24"/>
        </w:rPr>
        <w:t>根据双方友好协商，本合同总金额为：人民币大写：</w:t>
      </w:r>
      <w:r>
        <w:rPr>
          <w:rFonts w:hint="eastAsia" w:ascii="宋体" w:hAnsi="宋体" w:cs="宋体"/>
          <w:sz w:val="24"/>
          <w:szCs w:val="24"/>
          <w:u w:val="single"/>
        </w:rPr>
        <w:t>XX元</w:t>
      </w:r>
      <w:r>
        <w:rPr>
          <w:rFonts w:hint="eastAsia" w:ascii="宋体" w:hAnsi="宋体" w:cs="宋体"/>
          <w:sz w:val="24"/>
          <w:szCs w:val="24"/>
        </w:rPr>
        <w:t>整，人民币小写￥</w:t>
      </w:r>
      <w:r>
        <w:rPr>
          <w:rFonts w:hint="eastAsia" w:ascii="宋体" w:hAnsi="宋体" w:cs="宋体"/>
          <w:sz w:val="24"/>
          <w:szCs w:val="24"/>
          <w:u w:val="single"/>
        </w:rPr>
        <w:t>XX</w:t>
      </w:r>
      <w:r>
        <w:rPr>
          <w:rFonts w:hint="eastAsia" w:ascii="宋体" w:hAnsi="宋体" w:cs="宋体"/>
          <w:sz w:val="24"/>
          <w:szCs w:val="24"/>
        </w:rPr>
        <w:t>元，乙方开具增值税专用发票，含税x%。</w:t>
      </w:r>
    </w:p>
    <w:p w14:paraId="043CDBA3">
      <w:pPr>
        <w:pStyle w:val="14"/>
        <w:spacing w:before="0" w:beforeAutospacing="0" w:after="0" w:afterAutospacing="0" w:line="360" w:lineRule="auto"/>
        <w:ind w:left="0" w:firstLine="458" w:firstLineChars="191"/>
        <w:rPr>
          <w:rFonts w:hint="eastAsia" w:ascii="宋体" w:hAnsi="宋体" w:cs="宋体"/>
          <w:kern w:val="2"/>
          <w:sz w:val="24"/>
          <w:szCs w:val="24"/>
          <w:highlight w:val="yellow"/>
        </w:rPr>
      </w:pPr>
      <w:r>
        <w:rPr>
          <w:rFonts w:hint="eastAsia" w:ascii="宋体" w:hAnsi="宋体" w:cs="宋体"/>
          <w:kern w:val="2"/>
          <w:sz w:val="24"/>
          <w:szCs w:val="24"/>
          <w:highlight w:val="yellow"/>
        </w:rPr>
        <w:t>全部货到甲方指定收货地点经甲方验收合格，项目完成并并网国家危废系统，且收到乙方开具的全额发票后20个工作日内甲方一次性支付合同款的90%，即        元。剩余10%合同款为质保金，乙方违约或发生本合同约定的其他事由的，甲方有权从履约保证金中优先扣除乙方违约金及其他应付款项；由此造成履约保证金不足的，乙方应在5日内补足，逾期每日按照应缴金额的千分之一支付违约金。质保金在乙方全面履行完毕本合同义务后30天内无息退还。但质保金退还后发现任何应由乙方承担责任的行为或事件的，乙方仍应承担责任。</w:t>
      </w:r>
    </w:p>
    <w:p w14:paraId="3FF9C4A1">
      <w:pPr>
        <w:pStyle w:val="14"/>
        <w:spacing w:before="0" w:beforeAutospacing="0" w:after="0" w:afterAutospacing="0" w:line="360" w:lineRule="auto"/>
        <w:ind w:left="0" w:firstLine="458" w:firstLineChars="191"/>
        <w:rPr>
          <w:rFonts w:ascii="宋体" w:hAnsi="宋体" w:cs="宋体"/>
          <w:sz w:val="24"/>
          <w:szCs w:val="24"/>
          <w:highlight w:val="yellow"/>
        </w:rPr>
      </w:pPr>
      <w:r>
        <w:rPr>
          <w:rFonts w:hint="eastAsia" w:ascii="宋体" w:hAnsi="宋体" w:cs="宋体"/>
          <w:kern w:val="2"/>
          <w:sz w:val="24"/>
          <w:szCs w:val="24"/>
          <w:highlight w:val="yellow"/>
        </w:rPr>
        <w:t>自         起，乙方提供一年的免费软件系统运维服务。首年免费运维服务到期后，乙方按     元/年，继续提供五年运维服务，运维费由甲方于每年    收到发票后支付。</w:t>
      </w:r>
    </w:p>
    <w:p w14:paraId="31AA0ED8">
      <w:pPr>
        <w:tabs>
          <w:tab w:val="left" w:pos="6032"/>
        </w:tabs>
        <w:spacing w:line="360" w:lineRule="auto"/>
        <w:ind w:firstLine="482" w:firstLineChars="200"/>
        <w:jc w:val="left"/>
        <w:rPr>
          <w:rFonts w:ascii="宋体" w:hAnsi="宋体" w:cs="宋体"/>
          <w:b/>
          <w:bCs/>
          <w:sz w:val="24"/>
          <w:szCs w:val="24"/>
        </w:rPr>
      </w:pPr>
      <w:r>
        <w:rPr>
          <w:rFonts w:hint="eastAsia" w:ascii="宋体" w:hAnsi="宋体" w:cs="宋体"/>
          <w:b/>
          <w:bCs/>
          <w:sz w:val="24"/>
          <w:szCs w:val="24"/>
        </w:rPr>
        <w:t>3</w:t>
      </w:r>
      <w:r>
        <w:rPr>
          <w:rFonts w:hint="eastAsia" w:ascii="宋体" w:hAnsi="宋体" w:cs="宋体"/>
          <w:sz w:val="24"/>
          <w:szCs w:val="24"/>
        </w:rPr>
        <w:t>、</w:t>
      </w:r>
      <w:r>
        <w:rPr>
          <w:rFonts w:hint="eastAsia" w:ascii="宋体" w:hAnsi="宋体" w:cs="宋体"/>
          <w:b/>
          <w:bCs/>
          <w:sz w:val="24"/>
          <w:szCs w:val="24"/>
        </w:rPr>
        <w:t>服务内容：</w:t>
      </w:r>
    </w:p>
    <w:p w14:paraId="14B98382">
      <w:pPr>
        <w:spacing w:line="360" w:lineRule="auto"/>
        <w:ind w:firstLine="480" w:firstLineChars="200"/>
        <w:rPr>
          <w:rFonts w:ascii="宋体" w:hAnsi="宋体" w:cs="宋体"/>
          <w:sz w:val="24"/>
          <w:szCs w:val="24"/>
        </w:rPr>
      </w:pPr>
      <w:r>
        <w:rPr>
          <w:rFonts w:hint="eastAsia" w:ascii="宋体" w:hAnsi="宋体" w:cs="宋体"/>
          <w:sz w:val="24"/>
          <w:szCs w:val="24"/>
        </w:rPr>
        <w:t>合同签订后，乙方为甲方提供设备交付、安装调试、使用咨询、软硬件质保维修服务，质保期内免费提供系统日常维护及更新。</w:t>
      </w:r>
    </w:p>
    <w:p w14:paraId="59BF463A">
      <w:pPr>
        <w:spacing w:line="360" w:lineRule="auto"/>
        <w:ind w:firstLine="482" w:firstLineChars="200"/>
        <w:jc w:val="left"/>
        <w:rPr>
          <w:rFonts w:ascii="宋体" w:hAnsi="宋体" w:cs="宋体"/>
          <w:b/>
          <w:bCs/>
          <w:sz w:val="24"/>
          <w:szCs w:val="24"/>
        </w:rPr>
      </w:pPr>
      <w:r>
        <w:rPr>
          <w:rFonts w:ascii="宋体" w:hAnsi="宋体" w:cs="宋体"/>
          <w:b/>
          <w:bCs/>
          <w:sz w:val="24"/>
          <w:szCs w:val="24"/>
        </w:rPr>
        <w:t>4</w:t>
      </w:r>
      <w:r>
        <w:rPr>
          <w:rFonts w:hint="eastAsia" w:ascii="宋体" w:hAnsi="宋体" w:cs="宋体"/>
          <w:sz w:val="24"/>
          <w:szCs w:val="24"/>
        </w:rPr>
        <w:t>、</w:t>
      </w:r>
      <w:r>
        <w:rPr>
          <w:rFonts w:hint="eastAsia" w:ascii="宋体" w:hAnsi="宋体" w:cs="宋体"/>
          <w:b/>
          <w:bCs/>
          <w:sz w:val="24"/>
          <w:szCs w:val="24"/>
        </w:rPr>
        <w:t>甲方开票及联系人信息：</w:t>
      </w:r>
    </w:p>
    <w:p w14:paraId="60B40ACC">
      <w:pPr>
        <w:pStyle w:val="17"/>
        <w:spacing w:beforeLines="0" w:afterLines="0" w:line="360" w:lineRule="auto"/>
        <w:ind w:firstLine="480" w:firstLineChars="200"/>
        <w:rPr>
          <w:rFonts w:hAnsi="宋体"/>
          <w:color w:val="000000" w:themeColor="text1"/>
          <w:szCs w:val="24"/>
        </w:rPr>
      </w:pPr>
      <w:bookmarkStart w:id="0" w:name="OLE_LINK1"/>
      <w:r>
        <w:rPr>
          <w:rFonts w:hint="eastAsia" w:hAnsi="宋体"/>
          <w:color w:val="000000" w:themeColor="text1"/>
          <w:szCs w:val="24"/>
        </w:rPr>
        <w:t>公司名称：</w:t>
      </w:r>
    </w:p>
    <w:p w14:paraId="62344E75">
      <w:pPr>
        <w:pStyle w:val="17"/>
        <w:spacing w:beforeLines="0" w:afterLines="0" w:line="360" w:lineRule="auto"/>
        <w:ind w:firstLine="480" w:firstLineChars="200"/>
        <w:rPr>
          <w:rFonts w:hAnsi="宋体"/>
          <w:color w:val="000000" w:themeColor="text1"/>
          <w:szCs w:val="24"/>
        </w:rPr>
      </w:pPr>
      <w:r>
        <w:rPr>
          <w:rFonts w:hint="eastAsia" w:hAnsi="宋体"/>
          <w:color w:val="000000" w:themeColor="text1"/>
          <w:szCs w:val="24"/>
        </w:rPr>
        <w:t>公司税号：</w:t>
      </w:r>
    </w:p>
    <w:p w14:paraId="5147B970">
      <w:pPr>
        <w:pStyle w:val="17"/>
        <w:spacing w:beforeLines="0" w:afterLines="0" w:line="360" w:lineRule="auto"/>
        <w:ind w:firstLine="480" w:firstLineChars="200"/>
        <w:rPr>
          <w:rFonts w:hAnsi="宋体"/>
          <w:color w:val="000000" w:themeColor="text1"/>
          <w:szCs w:val="24"/>
        </w:rPr>
      </w:pPr>
      <w:r>
        <w:rPr>
          <w:rFonts w:hint="eastAsia" w:hAnsi="宋体"/>
          <w:color w:val="000000" w:themeColor="text1"/>
          <w:szCs w:val="24"/>
        </w:rPr>
        <w:t>地址、电话：</w:t>
      </w:r>
    </w:p>
    <w:p w14:paraId="7B33DDCD">
      <w:pPr>
        <w:pStyle w:val="17"/>
        <w:spacing w:beforeLines="0" w:afterLines="0" w:line="360" w:lineRule="auto"/>
        <w:ind w:firstLine="480" w:firstLineChars="200"/>
        <w:rPr>
          <w:rFonts w:hAnsi="宋体"/>
          <w:color w:val="000000" w:themeColor="text1"/>
          <w:szCs w:val="24"/>
        </w:rPr>
      </w:pPr>
      <w:r>
        <w:rPr>
          <w:rFonts w:hint="eastAsia" w:hAnsi="宋体"/>
          <w:color w:val="000000" w:themeColor="text1"/>
          <w:szCs w:val="24"/>
        </w:rPr>
        <w:t>开户行：</w:t>
      </w:r>
    </w:p>
    <w:p w14:paraId="5F7BA21D">
      <w:pPr>
        <w:pStyle w:val="17"/>
        <w:spacing w:beforeLines="0" w:afterLines="0" w:line="360" w:lineRule="auto"/>
        <w:ind w:firstLine="480" w:firstLineChars="200"/>
        <w:rPr>
          <w:rFonts w:hAnsi="宋体"/>
          <w:color w:val="000000" w:themeColor="text1"/>
          <w:szCs w:val="24"/>
        </w:rPr>
      </w:pPr>
      <w:r>
        <w:rPr>
          <w:rFonts w:hint="eastAsia" w:hAnsi="宋体"/>
          <w:color w:val="000000" w:themeColor="text1"/>
          <w:szCs w:val="24"/>
        </w:rPr>
        <w:t>银行账号：</w:t>
      </w:r>
    </w:p>
    <w:p w14:paraId="2826582B">
      <w:pPr>
        <w:pStyle w:val="17"/>
        <w:spacing w:beforeLines="0" w:afterLines="0" w:line="360" w:lineRule="auto"/>
        <w:ind w:firstLine="480" w:firstLineChars="200"/>
        <w:rPr>
          <w:rFonts w:hAnsi="宋体"/>
          <w:color w:val="FF0000"/>
          <w:szCs w:val="24"/>
        </w:rPr>
      </w:pPr>
      <w:r>
        <w:rPr>
          <w:rFonts w:hint="eastAsia" w:hAnsi="宋体"/>
          <w:color w:val="FF0000"/>
          <w:szCs w:val="24"/>
        </w:rPr>
        <w:t xml:space="preserve">项目联系人： </w:t>
      </w:r>
    </w:p>
    <w:p w14:paraId="4BCAF1AB">
      <w:pPr>
        <w:pStyle w:val="17"/>
        <w:spacing w:beforeLines="0" w:afterLines="0" w:line="360" w:lineRule="auto"/>
        <w:ind w:firstLine="480" w:firstLineChars="200"/>
        <w:rPr>
          <w:rFonts w:hAnsi="宋体"/>
          <w:color w:val="FF0000"/>
          <w:szCs w:val="24"/>
        </w:rPr>
      </w:pPr>
      <w:r>
        <w:rPr>
          <w:rFonts w:hint="eastAsia" w:hAnsi="宋体"/>
          <w:color w:val="FF0000"/>
          <w:szCs w:val="24"/>
        </w:rPr>
        <w:t>联系电话：</w:t>
      </w:r>
    </w:p>
    <w:bookmarkEnd w:id="0"/>
    <w:p w14:paraId="2D9A9F0E">
      <w:pPr>
        <w:spacing w:line="360" w:lineRule="auto"/>
        <w:ind w:firstLine="482" w:firstLineChars="200"/>
        <w:rPr>
          <w:rFonts w:ascii="宋体" w:hAnsi="宋体" w:cs="宋体"/>
          <w:b/>
          <w:bCs/>
          <w:sz w:val="24"/>
          <w:szCs w:val="24"/>
        </w:rPr>
      </w:pPr>
      <w:r>
        <w:rPr>
          <w:rFonts w:hint="eastAsia" w:ascii="宋体" w:hAnsi="宋体" w:cs="宋体"/>
          <w:b/>
          <w:bCs/>
          <w:sz w:val="24"/>
          <w:szCs w:val="24"/>
        </w:rPr>
        <w:t>5</w:t>
      </w:r>
      <w:r>
        <w:rPr>
          <w:rFonts w:hint="eastAsia" w:ascii="宋体" w:hAnsi="宋体" w:cs="宋体"/>
          <w:sz w:val="24"/>
          <w:szCs w:val="24"/>
        </w:rPr>
        <w:t>、</w:t>
      </w:r>
      <w:r>
        <w:rPr>
          <w:rFonts w:hint="eastAsia" w:ascii="宋体" w:hAnsi="宋体" w:cs="宋体"/>
          <w:b/>
          <w:bCs/>
          <w:sz w:val="24"/>
          <w:szCs w:val="24"/>
        </w:rPr>
        <w:t>乙方收款账号：</w:t>
      </w:r>
    </w:p>
    <w:p w14:paraId="2C84649B">
      <w:pPr>
        <w:pStyle w:val="17"/>
        <w:spacing w:beforeLines="0" w:afterLines="0" w:line="360" w:lineRule="auto"/>
        <w:ind w:firstLine="480" w:firstLineChars="200"/>
        <w:rPr>
          <w:rFonts w:hAnsi="宋体"/>
          <w:color w:val="000000"/>
          <w:szCs w:val="24"/>
        </w:rPr>
      </w:pPr>
      <w:r>
        <w:rPr>
          <w:rFonts w:hint="eastAsia" w:hAnsi="宋体"/>
          <w:color w:val="000000"/>
          <w:szCs w:val="24"/>
        </w:rPr>
        <w:t>开户名称：</w:t>
      </w:r>
    </w:p>
    <w:p w14:paraId="6E9750F6">
      <w:pPr>
        <w:pStyle w:val="17"/>
        <w:spacing w:beforeLines="0" w:afterLines="0" w:line="360" w:lineRule="auto"/>
        <w:ind w:firstLine="480" w:firstLineChars="200"/>
        <w:rPr>
          <w:rFonts w:hAnsi="宋体"/>
          <w:color w:val="000000"/>
          <w:szCs w:val="24"/>
        </w:rPr>
      </w:pPr>
      <w:r>
        <w:rPr>
          <w:rFonts w:hint="eastAsia" w:hAnsi="宋体"/>
          <w:color w:val="000000"/>
          <w:szCs w:val="24"/>
        </w:rPr>
        <w:t>开户银行：</w:t>
      </w:r>
    </w:p>
    <w:p w14:paraId="7D8DA164">
      <w:pPr>
        <w:pStyle w:val="17"/>
        <w:spacing w:beforeLines="0" w:afterLines="0" w:line="360" w:lineRule="auto"/>
        <w:ind w:firstLine="480" w:firstLineChars="200"/>
        <w:rPr>
          <w:rFonts w:hAnsi="宋体"/>
          <w:color w:val="000000"/>
          <w:szCs w:val="24"/>
        </w:rPr>
      </w:pPr>
      <w:r>
        <w:rPr>
          <w:rFonts w:hint="eastAsia" w:hAnsi="宋体"/>
          <w:color w:val="000000"/>
          <w:szCs w:val="24"/>
        </w:rPr>
        <w:t>银行账号：</w:t>
      </w:r>
    </w:p>
    <w:p w14:paraId="2963493A">
      <w:pPr>
        <w:pStyle w:val="17"/>
        <w:spacing w:beforeLines="0" w:afterLines="0" w:line="360" w:lineRule="auto"/>
        <w:ind w:firstLine="480" w:firstLineChars="200"/>
        <w:rPr>
          <w:rFonts w:hAnsi="宋体"/>
          <w:color w:val="000000"/>
          <w:szCs w:val="24"/>
        </w:rPr>
      </w:pPr>
      <w:r>
        <w:rPr>
          <w:rFonts w:hint="eastAsia" w:hAnsi="宋体"/>
          <w:color w:val="000000"/>
          <w:szCs w:val="24"/>
        </w:rPr>
        <w:t>项目联系人：</w:t>
      </w:r>
    </w:p>
    <w:p w14:paraId="3073EB25">
      <w:pPr>
        <w:pStyle w:val="17"/>
        <w:spacing w:beforeLines="0" w:afterLines="0" w:line="360" w:lineRule="auto"/>
        <w:ind w:firstLine="480" w:firstLineChars="200"/>
        <w:rPr>
          <w:rFonts w:hAnsi="宋体"/>
          <w:bCs/>
          <w:color w:val="000000"/>
          <w:szCs w:val="24"/>
        </w:rPr>
      </w:pPr>
      <w:r>
        <w:rPr>
          <w:rFonts w:hint="eastAsia" w:hAnsi="宋体"/>
          <w:color w:val="000000"/>
          <w:szCs w:val="24"/>
        </w:rPr>
        <w:t>联系电话：</w:t>
      </w:r>
    </w:p>
    <w:p w14:paraId="76EBA769">
      <w:pPr>
        <w:pStyle w:val="4"/>
        <w:numPr>
          <w:ilvl w:val="1"/>
          <w:numId w:val="0"/>
        </w:numPr>
      </w:pPr>
      <w:r>
        <w:rPr>
          <w:rFonts w:hint="eastAsia"/>
        </w:rPr>
        <w:t>二、产品交付</w:t>
      </w:r>
    </w:p>
    <w:p w14:paraId="0ABE0BA1">
      <w:pPr>
        <w:spacing w:line="360" w:lineRule="auto"/>
        <w:ind w:firstLine="480" w:firstLineChars="200"/>
        <w:jc w:val="left"/>
        <w:rPr>
          <w:rFonts w:ascii="宋体" w:hAnsi="宋体" w:cs="宋体"/>
          <w:sz w:val="24"/>
          <w:szCs w:val="24"/>
        </w:rPr>
      </w:pPr>
      <w:r>
        <w:rPr>
          <w:rFonts w:hint="eastAsia" w:ascii="宋体" w:hAnsi="宋体" w:cs="宋体"/>
          <w:sz w:val="24"/>
          <w:szCs w:val="24"/>
        </w:rPr>
        <w:t>1、发货日期：乙方在合同签订后</w:t>
      </w:r>
      <w:r>
        <w:rPr>
          <w:rFonts w:hint="eastAsia" w:ascii="宋体" w:hAnsi="宋体" w:cs="宋体"/>
          <w:sz w:val="24"/>
          <w:szCs w:val="24"/>
          <w:u w:val="single"/>
        </w:rPr>
        <w:t xml:space="preserve"> 7 </w:t>
      </w:r>
      <w:r>
        <w:rPr>
          <w:rFonts w:hint="eastAsia" w:ascii="宋体" w:hAnsi="宋体" w:cs="宋体"/>
          <w:sz w:val="24"/>
          <w:szCs w:val="24"/>
        </w:rPr>
        <w:t>天内发货（因地质灾害以及其他快递、物流等第三方不可抗力引起的延误除外）。</w:t>
      </w:r>
    </w:p>
    <w:p w14:paraId="48B1DDB2">
      <w:pPr>
        <w:tabs>
          <w:tab w:val="left" w:pos="6049"/>
        </w:tabs>
        <w:spacing w:line="360" w:lineRule="auto"/>
        <w:ind w:firstLine="480" w:firstLineChars="200"/>
        <w:jc w:val="left"/>
        <w:rPr>
          <w:rFonts w:ascii="宋体" w:hAnsi="宋体" w:cs="宋体"/>
          <w:sz w:val="24"/>
          <w:szCs w:val="24"/>
        </w:rPr>
      </w:pPr>
      <w:r>
        <w:rPr>
          <w:rFonts w:hint="eastAsia" w:ascii="宋体" w:hAnsi="宋体" w:cs="宋体"/>
          <w:sz w:val="24"/>
          <w:szCs w:val="24"/>
        </w:rPr>
        <w:t>2、设备交付地点：甲方厂区指定地点。</w:t>
      </w:r>
    </w:p>
    <w:p w14:paraId="4EC2EC59">
      <w:pPr>
        <w:spacing w:line="360" w:lineRule="auto"/>
        <w:ind w:firstLine="480" w:firstLineChars="200"/>
        <w:jc w:val="left"/>
        <w:rPr>
          <w:rFonts w:ascii="宋体" w:hAnsi="宋体" w:cs="宋体"/>
          <w:sz w:val="24"/>
          <w:szCs w:val="24"/>
        </w:rPr>
      </w:pPr>
      <w:r>
        <w:rPr>
          <w:rFonts w:hint="eastAsia" w:ascii="宋体" w:hAnsi="宋体" w:cs="宋体"/>
          <w:sz w:val="24"/>
          <w:szCs w:val="24"/>
        </w:rPr>
        <w:t>3、运输方式和费用承担：物流费用由乙方承担。</w:t>
      </w:r>
    </w:p>
    <w:p w14:paraId="582B4080">
      <w:pPr>
        <w:pStyle w:val="4"/>
        <w:numPr>
          <w:ilvl w:val="1"/>
          <w:numId w:val="0"/>
        </w:numPr>
      </w:pPr>
      <w:r>
        <w:rPr>
          <w:rFonts w:hint="eastAsia"/>
        </w:rPr>
        <w:t>三、质保内容</w:t>
      </w:r>
    </w:p>
    <w:p w14:paraId="35A00083">
      <w:p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1、设备免费保修期一年，自设备</w:t>
      </w:r>
      <w:r>
        <w:rPr>
          <w:rFonts w:hint="eastAsia" w:ascii="宋体" w:hAnsi="宋体" w:cs="宋体"/>
          <w:sz w:val="24"/>
          <w:szCs w:val="24"/>
        </w:rPr>
        <w:t>验</w:t>
      </w:r>
      <w:r>
        <w:rPr>
          <w:rFonts w:hint="eastAsia" w:ascii="宋体" w:hAnsi="宋体" w:cs="宋体"/>
          <w:color w:val="000000"/>
          <w:sz w:val="24"/>
          <w:szCs w:val="24"/>
        </w:rPr>
        <w:t>收之日起计算。质保期内，本次采购的终端设备出现非人为因素破坏或非不当使用造成的损坏、故障，均由乙方负责保修。</w:t>
      </w:r>
    </w:p>
    <w:p w14:paraId="1F6248EF">
      <w:pPr>
        <w:spacing w:line="360" w:lineRule="auto"/>
        <w:ind w:firstLine="480" w:firstLineChars="200"/>
        <w:jc w:val="left"/>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、乙方只对因产品本身质量问题或者是运输过程中造成的设备损伤负责维修，因甲方或者其他第三方、不可抗力等原因造成的损坏，乙方提供有偿服务。</w:t>
      </w:r>
    </w:p>
    <w:p w14:paraId="1C306963">
      <w:p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3、软件系统维护期</w:t>
      </w:r>
      <w:r>
        <w:rPr>
          <w:rFonts w:hint="eastAsia" w:ascii="宋体" w:hAnsi="宋体" w:cs="宋体"/>
          <w:color w:val="000000"/>
          <w:sz w:val="24"/>
          <w:szCs w:val="24"/>
          <w:highlight w:val="yellow"/>
          <w:u w:val="single"/>
        </w:rPr>
        <w:t>六年（含首年免费维护）</w:t>
      </w:r>
      <w:r>
        <w:rPr>
          <w:rFonts w:hint="eastAsia" w:ascii="宋体" w:hAnsi="宋体" w:cs="宋体"/>
          <w:color w:val="000000"/>
          <w:sz w:val="24"/>
          <w:szCs w:val="24"/>
        </w:rPr>
        <w:t>，自     起算;硬件质保期</w:t>
      </w:r>
      <w:r>
        <w:rPr>
          <w:rFonts w:hint="eastAsia" w:ascii="宋体" w:hAnsi="宋体" w:cs="宋体"/>
          <w:color w:val="000000"/>
          <w:sz w:val="24"/>
          <w:szCs w:val="24"/>
          <w:highlight w:val="yellow"/>
          <w:u w:val="single"/>
        </w:rPr>
        <w:t>一年</w:t>
      </w:r>
      <w:r>
        <w:rPr>
          <w:rFonts w:hint="eastAsia" w:ascii="宋体" w:hAnsi="宋体" w:cs="宋体"/>
          <w:color w:val="000000"/>
          <w:sz w:val="24"/>
          <w:szCs w:val="24"/>
        </w:rPr>
        <w:t>，自     起算，后续如有损坏或故障，乙方提供有偿服务。</w:t>
      </w:r>
    </w:p>
    <w:p w14:paraId="79DF640F">
      <w:pPr>
        <w:spacing w:beforeLines="50" w:afterLines="50" w:line="360" w:lineRule="auto"/>
        <w:ind w:firstLine="480" w:firstLineChars="200"/>
        <w:rPr>
          <w:highlight w:val="yellow"/>
        </w:rPr>
      </w:pPr>
      <w:r>
        <w:rPr>
          <w:rFonts w:hint="eastAsia" w:ascii="宋体" w:hAnsi="宋体" w:cs="宋体"/>
          <w:color w:val="000000"/>
          <w:sz w:val="24"/>
          <w:szCs w:val="24"/>
          <w:highlight w:val="yellow"/>
        </w:rPr>
        <w:t>4、乙方应保证提高的设备与系统可接入企业自建信息化管理系统功能，且可为企业提供免费升级服务。</w:t>
      </w:r>
    </w:p>
    <w:p w14:paraId="3A583EC1">
      <w:pPr>
        <w:pStyle w:val="4"/>
        <w:numPr>
          <w:ilvl w:val="1"/>
          <w:numId w:val="0"/>
        </w:numPr>
      </w:pPr>
      <w:r>
        <w:rPr>
          <w:rFonts w:hint="eastAsia"/>
        </w:rPr>
        <w:t xml:space="preserve">四、保密条款及知识产权保护  </w:t>
      </w:r>
    </w:p>
    <w:p w14:paraId="0B9389BC">
      <w:pPr>
        <w:spacing w:line="360" w:lineRule="auto"/>
        <w:ind w:firstLine="480" w:firstLineChars="200"/>
        <w:jc w:val="left"/>
        <w:rPr>
          <w:rFonts w:ascii="宋体" w:hAnsi="宋体" w:cs="宋体"/>
          <w:sz w:val="24"/>
          <w:szCs w:val="24"/>
        </w:rPr>
      </w:pPr>
      <w:r>
        <w:rPr>
          <w:rFonts w:hint="eastAsia" w:ascii="宋体" w:hAnsi="宋体" w:cs="宋体"/>
          <w:sz w:val="24"/>
          <w:szCs w:val="24"/>
        </w:rPr>
        <w:t>甲乙双方有责任对本次合作获得的所有资料予以保密，未经一方书面同意，另一方不得将协议内容及相关技术资料透露给第三方，合同解除、终止后，双方仍需履行保密，保密期</w:t>
      </w:r>
      <w:r>
        <w:rPr>
          <w:rFonts w:ascii="宋体" w:hAnsi="宋体" w:cs="宋体"/>
          <w:sz w:val="24"/>
          <w:szCs w:val="24"/>
        </w:rPr>
        <w:t>为公众所知悉时为止</w:t>
      </w:r>
      <w:r>
        <w:rPr>
          <w:rFonts w:hint="eastAsia" w:ascii="宋体" w:hAnsi="宋体" w:cs="宋体"/>
          <w:sz w:val="24"/>
          <w:szCs w:val="24"/>
        </w:rPr>
        <w:t>，如有违反，需赔偿对方因此造成的所有损失。</w:t>
      </w:r>
    </w:p>
    <w:p w14:paraId="71266DB7">
      <w:pPr>
        <w:spacing w:line="360" w:lineRule="auto"/>
        <w:ind w:firstLine="480" w:firstLineChars="200"/>
        <w:jc w:val="left"/>
        <w:rPr>
          <w:rFonts w:ascii="宋体" w:hAnsi="宋体" w:cs="宋体"/>
          <w:sz w:val="24"/>
          <w:szCs w:val="24"/>
        </w:rPr>
      </w:pPr>
      <w:r>
        <w:rPr>
          <w:rFonts w:hint="eastAsia" w:ascii="宋体" w:hAnsi="宋体" w:cs="宋体"/>
          <w:sz w:val="24"/>
          <w:szCs w:val="24"/>
        </w:rPr>
        <w:t>乙方应保证，甲方在中华人民共和国使用合同仪器或合同仪器/系统软件的任何一部分时，免受第三方提出的侵犯其专利权、商标权或其他知识产权的起诉。如发生此类纠纷，由乙方承担一切责任。</w:t>
      </w:r>
    </w:p>
    <w:p w14:paraId="0C4969E6">
      <w:pPr>
        <w:pStyle w:val="4"/>
        <w:numPr>
          <w:ilvl w:val="1"/>
          <w:numId w:val="0"/>
        </w:numPr>
        <w:rPr>
          <w:color w:val="000000"/>
        </w:rPr>
      </w:pPr>
      <w:r>
        <w:rPr>
          <w:rFonts w:hint="eastAsia"/>
          <w:color w:val="000000"/>
        </w:rPr>
        <w:t>五、违约责任</w:t>
      </w:r>
    </w:p>
    <w:p w14:paraId="569C2449">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1、乙方逾期交付设备/提供安装调试服务的，每逾期一天，应承担合同总价   %的违约金;逾期超过  天的，甲方有权单方解除本合同，并要求乙方赔偿损失。</w:t>
      </w:r>
    </w:p>
    <w:p w14:paraId="3B3CF282">
      <w:pPr>
        <w:spacing w:line="360" w:lineRule="auto"/>
        <w:ind w:firstLine="480" w:firstLineChars="200"/>
        <w:jc w:val="left"/>
        <w:rPr>
          <w:rFonts w:ascii="宋体" w:hAnsi="宋体" w:cs="宋体"/>
          <w:sz w:val="24"/>
          <w:szCs w:val="24"/>
        </w:rPr>
      </w:pPr>
      <w:r>
        <w:rPr>
          <w:rFonts w:hint="eastAsia" w:ascii="宋体" w:hAnsi="宋体" w:cs="宋体"/>
          <w:sz w:val="24"/>
          <w:szCs w:val="24"/>
        </w:rPr>
        <w:t>乙方提供的货物和服务质量必须达到合格，凡安装调试、设备试运转过程中发现的设备质量问题，乙方必须无偿返工直至符合质量要求。因此造成的逾期，参照上述条款执行。</w:t>
      </w:r>
    </w:p>
    <w:p w14:paraId="0973CC6F">
      <w:pPr>
        <w:spacing w:line="360" w:lineRule="auto"/>
        <w:ind w:firstLine="480" w:firstLineChars="200"/>
        <w:jc w:val="left"/>
      </w:pPr>
      <w:r>
        <w:rPr>
          <w:rFonts w:hint="eastAsia" w:ascii="宋体" w:hAnsi="宋体" w:cs="宋体"/>
          <w:sz w:val="24"/>
          <w:szCs w:val="24"/>
        </w:rPr>
        <w:t>2、由于甲方保管不善或使用不当造成设备短缺、故障或损坏，乙方有偿协助甲方及时给予补齐或修复。乙方应根据甲方需要及时提供质保及系统运维服务，乙方怠于履行质保义务/运维服务的，甲方有权请第三方提供质保及运维服务，因此产生的费用由乙方承担。</w:t>
      </w:r>
    </w:p>
    <w:p w14:paraId="05EF7EA0">
      <w:pPr>
        <w:spacing w:line="360" w:lineRule="auto"/>
        <w:ind w:firstLine="480" w:firstLineChars="200"/>
        <w:jc w:val="left"/>
        <w:rPr>
          <w:rFonts w:ascii="宋体" w:hAnsi="宋体" w:cs="宋体"/>
          <w:sz w:val="24"/>
          <w:szCs w:val="24"/>
        </w:rPr>
      </w:pPr>
      <w:r>
        <w:rPr>
          <w:rFonts w:hint="eastAsia" w:ascii="宋体" w:hAnsi="宋体" w:cs="宋体"/>
          <w:sz w:val="24"/>
          <w:szCs w:val="24"/>
        </w:rPr>
        <w:t>3、除不可抗力外，如乙方发生不能按期完成供货任务，甲方发生中途变更等情况，应及时以书面形式通知对方。双方应本着友好的态度进行协商，妥善解决。如协商无</w:t>
      </w:r>
      <w:r>
        <w:rPr>
          <w:rFonts w:hint="eastAsia" w:ascii="宋体" w:hAnsi="宋体" w:cs="宋体"/>
          <w:color w:val="000000"/>
          <w:sz w:val="24"/>
          <w:szCs w:val="24"/>
        </w:rPr>
        <w:t>效，违约方需予以赔偿</w:t>
      </w:r>
      <w:r>
        <w:rPr>
          <w:rFonts w:hint="eastAsia" w:ascii="宋体" w:hAnsi="宋体" w:cs="宋体"/>
          <w:sz w:val="24"/>
          <w:szCs w:val="24"/>
        </w:rPr>
        <w:t>。</w:t>
      </w:r>
    </w:p>
    <w:p w14:paraId="422B1714">
      <w:pPr>
        <w:pStyle w:val="4"/>
        <w:numPr>
          <w:ilvl w:val="1"/>
          <w:numId w:val="0"/>
        </w:numPr>
      </w:pPr>
      <w:r>
        <w:rPr>
          <w:rFonts w:hint="eastAsia"/>
        </w:rPr>
        <w:t>六、不可抗力</w:t>
      </w:r>
    </w:p>
    <w:p w14:paraId="565CC3D2">
      <w:pPr>
        <w:spacing w:line="360" w:lineRule="auto"/>
        <w:ind w:firstLine="480" w:firstLineChars="200"/>
        <w:jc w:val="left"/>
        <w:rPr>
          <w:rFonts w:ascii="宋体" w:hAnsi="宋体" w:cs="宋体"/>
          <w:sz w:val="24"/>
          <w:szCs w:val="24"/>
        </w:rPr>
      </w:pPr>
      <w:r>
        <w:rPr>
          <w:rFonts w:hint="eastAsia" w:ascii="宋体" w:hAnsi="宋体" w:cs="宋体"/>
          <w:sz w:val="24"/>
          <w:szCs w:val="24"/>
        </w:rPr>
        <w:t>如果双方中任何一方由于战争、严重火灾、水灾、台风和地震以及其它经双方同意属于不可抗力的事故，致使合同履行受阻时，履行合同的期限应予延长，延长的期限应相当于事故所影响的时间。</w:t>
      </w:r>
    </w:p>
    <w:p w14:paraId="41CC05A0">
      <w:pPr>
        <w:pStyle w:val="4"/>
        <w:numPr>
          <w:ilvl w:val="1"/>
          <w:numId w:val="0"/>
        </w:numPr>
      </w:pPr>
      <w:r>
        <w:rPr>
          <w:rFonts w:hint="eastAsia"/>
        </w:rPr>
        <w:t>七、法律适用和争议解决</w:t>
      </w:r>
    </w:p>
    <w:p w14:paraId="12D0EE14">
      <w:pPr>
        <w:spacing w:line="360" w:lineRule="auto"/>
        <w:ind w:firstLine="480" w:firstLineChars="200"/>
        <w:jc w:val="left"/>
        <w:rPr>
          <w:rFonts w:ascii="宋体" w:hAnsi="宋体" w:cs="宋体"/>
          <w:sz w:val="24"/>
          <w:szCs w:val="24"/>
        </w:rPr>
      </w:pPr>
      <w:r>
        <w:rPr>
          <w:rFonts w:hint="eastAsia" w:ascii="宋体" w:hAnsi="宋体" w:cs="宋体"/>
          <w:sz w:val="24"/>
          <w:szCs w:val="24"/>
        </w:rPr>
        <w:t>1、本合同适用中华人民共和国法律，双方基于本合同的订货单、确认书均具有法律效力。经双方签字并盖章的订货单、甲方确认书的书面形式与原件具有同等法律效力。</w:t>
      </w:r>
    </w:p>
    <w:p w14:paraId="7B23BC3F">
      <w:pPr>
        <w:spacing w:line="360" w:lineRule="auto"/>
        <w:ind w:firstLine="480" w:firstLineChars="200"/>
        <w:jc w:val="left"/>
        <w:rPr>
          <w:rFonts w:ascii="宋体" w:hAnsi="宋体" w:cs="宋体"/>
          <w:sz w:val="24"/>
          <w:szCs w:val="24"/>
        </w:rPr>
      </w:pPr>
      <w:r>
        <w:rPr>
          <w:rFonts w:hint="eastAsia" w:ascii="宋体" w:hAnsi="宋体" w:cs="宋体"/>
          <w:sz w:val="24"/>
          <w:szCs w:val="24"/>
        </w:rPr>
        <w:t>2、因本合同的履行而发生的争议，甲乙双方应本着友好协商的积极态度进行解决。如双方协商不成，甲方所在地人民法院提起诉讼。</w:t>
      </w:r>
    </w:p>
    <w:p w14:paraId="2CC03FC5">
      <w:pPr>
        <w:spacing w:line="360" w:lineRule="auto"/>
        <w:ind w:firstLine="480" w:firstLineChars="200"/>
        <w:jc w:val="left"/>
        <w:rPr>
          <w:rFonts w:ascii="宋体" w:hAnsi="宋体" w:cs="宋体"/>
          <w:sz w:val="24"/>
          <w:szCs w:val="24"/>
        </w:rPr>
      </w:pPr>
      <w:r>
        <w:rPr>
          <w:rFonts w:hint="eastAsia" w:ascii="宋体" w:hAnsi="宋体" w:cs="宋体"/>
          <w:sz w:val="24"/>
          <w:szCs w:val="24"/>
        </w:rPr>
        <w:t>3、当产生任何争议及任何争议正在诉讼或仲裁时，除争议事项外，双方将继续履行本合同未涉争议的其它部分。</w:t>
      </w:r>
    </w:p>
    <w:p w14:paraId="6BF19A0C">
      <w:pPr>
        <w:pStyle w:val="4"/>
        <w:numPr>
          <w:ilvl w:val="1"/>
          <w:numId w:val="0"/>
        </w:numPr>
      </w:pPr>
      <w:r>
        <w:rPr>
          <w:rFonts w:hint="eastAsia"/>
        </w:rPr>
        <w:t>八、合同变更</w:t>
      </w:r>
    </w:p>
    <w:p w14:paraId="76333DC1">
      <w:pPr>
        <w:spacing w:line="360" w:lineRule="auto"/>
        <w:ind w:firstLine="480" w:firstLineChars="200"/>
        <w:jc w:val="left"/>
        <w:rPr>
          <w:rFonts w:ascii="宋体" w:hAnsi="宋体" w:cs="宋体"/>
          <w:sz w:val="24"/>
          <w:szCs w:val="24"/>
        </w:rPr>
      </w:pPr>
      <w:r>
        <w:rPr>
          <w:rFonts w:hint="eastAsia" w:ascii="宋体" w:hAnsi="宋体" w:cs="宋体"/>
          <w:sz w:val="24"/>
          <w:szCs w:val="24"/>
        </w:rPr>
        <w:t>本合同条款及合同附件如有变更，须由甲、乙双方就变更条款签订补充协议。未变更条款照原合同执行。</w:t>
      </w:r>
    </w:p>
    <w:p w14:paraId="6E7D73AE">
      <w:pPr>
        <w:pStyle w:val="4"/>
        <w:numPr>
          <w:ilvl w:val="1"/>
          <w:numId w:val="0"/>
        </w:numPr>
      </w:pPr>
      <w:r>
        <w:rPr>
          <w:rFonts w:hint="eastAsia"/>
        </w:rPr>
        <w:t>九、其他</w:t>
      </w:r>
    </w:p>
    <w:p w14:paraId="11EA91E1">
      <w:pPr>
        <w:spacing w:line="360" w:lineRule="auto"/>
        <w:ind w:firstLine="480" w:firstLineChars="200"/>
        <w:jc w:val="left"/>
        <w:rPr>
          <w:rFonts w:ascii="宋体" w:hAnsi="宋体" w:cs="宋体"/>
          <w:sz w:val="24"/>
          <w:szCs w:val="24"/>
        </w:rPr>
      </w:pPr>
      <w:r>
        <w:rPr>
          <w:rFonts w:hint="eastAsia" w:ascii="宋体" w:hAnsi="宋体" w:cs="宋体"/>
          <w:sz w:val="24"/>
          <w:szCs w:val="24"/>
        </w:rPr>
        <w:t>1、本合同经签字盖章后生效。本合同一式两份，甲乙双方各执一份。</w:t>
      </w:r>
    </w:p>
    <w:p w14:paraId="50E2B49A">
      <w:pPr>
        <w:spacing w:line="360" w:lineRule="auto"/>
        <w:ind w:firstLine="480" w:firstLineChars="200"/>
        <w:jc w:val="left"/>
        <w:rPr>
          <w:rFonts w:ascii="宋体" w:hAnsi="宋体" w:cs="宋体"/>
          <w:sz w:val="24"/>
          <w:szCs w:val="24"/>
        </w:rPr>
      </w:pPr>
      <w:r>
        <w:rPr>
          <w:rFonts w:hint="eastAsia" w:ascii="宋体" w:hAnsi="宋体" w:cs="宋体"/>
          <w:sz w:val="24"/>
          <w:szCs w:val="24"/>
        </w:rPr>
        <w:t>2、乙方在甲方安装调试期间，应无条件遵守甲方厂区内的一切规章制度，并不得影响甲方正常的生产活动。乙方的安全问题由乙方负全责，若发生任何人身伤害和财产损失，均由乙方承担。</w:t>
      </w:r>
    </w:p>
    <w:p w14:paraId="6AC90302">
      <w:pPr>
        <w:ind w:firstLine="480" w:firstLineChars="200"/>
        <w:rPr>
          <w:rFonts w:ascii="宋体" w:hAnsi="宋体" w:cs="宋体"/>
          <w:sz w:val="24"/>
          <w:szCs w:val="24"/>
        </w:rPr>
      </w:pPr>
      <w:r>
        <w:rPr>
          <w:rFonts w:hint="eastAsia" w:ascii="宋体" w:hAnsi="宋体" w:cs="宋体"/>
          <w:sz w:val="24"/>
          <w:szCs w:val="24"/>
        </w:rPr>
        <w:t>3、合同签约地：【漳州市漳州古雷经济开发区】。</w:t>
      </w:r>
    </w:p>
    <w:p w14:paraId="0262B7CA"/>
    <w:p w14:paraId="33CD3F2D"/>
    <w:p w14:paraId="650DE043">
      <w:r>
        <w:rPr>
          <w:rFonts w:hint="eastAsia"/>
        </w:rPr>
        <w:t>-</w:t>
      </w:r>
      <w:r>
        <w:t>------------------------------------------</w:t>
      </w:r>
      <w:r>
        <w:rPr>
          <w:rFonts w:hint="eastAsia"/>
        </w:rPr>
        <w:t>以下为盖章签字页无正文-</w:t>
      </w:r>
      <w:r>
        <w:t>---------------------------------------------</w:t>
      </w:r>
    </w:p>
    <w:p w14:paraId="008D408E">
      <w:pPr>
        <w:rPr>
          <w:b/>
          <w:bCs/>
        </w:rPr>
      </w:pPr>
    </w:p>
    <w:p w14:paraId="5F86C992">
      <w:pPr>
        <w:ind w:firstLine="211" w:firstLineChars="100"/>
        <w:rPr>
          <w:b/>
          <w:bCs/>
        </w:rPr>
      </w:pPr>
      <w:r>
        <w:rPr>
          <w:rFonts w:hint="eastAsia"/>
          <w:b/>
          <w:bCs/>
        </w:rPr>
        <w:t>签署页:</w:t>
      </w:r>
    </w:p>
    <w:tbl>
      <w:tblPr>
        <w:tblStyle w:val="2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5245"/>
      </w:tblGrid>
      <w:tr w14:paraId="7C106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394DB64F">
            <w:pPr>
              <w:widowControl/>
              <w:spacing w:line="360" w:lineRule="auto"/>
              <w:ind w:left="-2" w:leftChars="-50" w:right="960" w:hanging="103" w:hangingChars="43"/>
              <w:jc w:val="left"/>
              <w:rPr>
                <w:rFonts w:ascii="宋体" w:hAnsi="宋体" w:cs="宋体"/>
                <w:sz w:val="24"/>
                <w:szCs w:val="24"/>
              </w:rPr>
            </w:pPr>
            <w:r>
              <w:rPr>
                <w:rFonts w:hint="eastAsia" w:ascii="宋体" w:hAnsi="宋体" w:cs="宋体"/>
                <w:sz w:val="24"/>
                <w:szCs w:val="24"/>
              </w:rPr>
              <w:t>甲方（盖章）：</w:t>
            </w:r>
          </w:p>
        </w:tc>
        <w:tc>
          <w:tcPr>
            <w:tcW w:w="5245" w:type="dxa"/>
          </w:tcPr>
          <w:p w14:paraId="48B4382A">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XX公司</w:t>
            </w:r>
          </w:p>
        </w:tc>
      </w:tr>
      <w:tr w14:paraId="1E8A5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57ABD7F5">
            <w:pPr>
              <w:widowControl/>
              <w:spacing w:line="360" w:lineRule="auto"/>
              <w:ind w:left="-2" w:leftChars="-50" w:right="454" w:rightChars="216" w:hanging="103" w:hangingChars="43"/>
              <w:jc w:val="left"/>
              <w:rPr>
                <w:rFonts w:ascii="宋体" w:hAnsi="宋体" w:cs="宋体"/>
                <w:sz w:val="24"/>
                <w:szCs w:val="24"/>
              </w:rPr>
            </w:pPr>
            <w:r>
              <w:rPr>
                <w:rFonts w:hint="eastAsia" w:ascii="宋体" w:hAnsi="宋体" w:cs="宋体"/>
                <w:sz w:val="24"/>
                <w:szCs w:val="24"/>
              </w:rPr>
              <w:t>法定代表人/负责人/</w:t>
            </w:r>
          </w:p>
          <w:p w14:paraId="0733414B">
            <w:pPr>
              <w:widowControl/>
              <w:spacing w:line="360" w:lineRule="auto"/>
              <w:ind w:left="-2" w:leftChars="-50" w:right="454" w:rightChars="216" w:hanging="103" w:hangingChars="43"/>
              <w:jc w:val="left"/>
              <w:rPr>
                <w:rFonts w:ascii="宋体" w:hAnsi="宋体" w:cs="宋体"/>
                <w:sz w:val="24"/>
                <w:szCs w:val="24"/>
              </w:rPr>
            </w:pPr>
            <w:r>
              <w:rPr>
                <w:rFonts w:hint="eastAsia" w:ascii="宋体" w:hAnsi="宋体" w:cs="宋体"/>
                <w:sz w:val="24"/>
                <w:szCs w:val="24"/>
              </w:rPr>
              <w:t>授权代表（签字）：</w:t>
            </w:r>
          </w:p>
        </w:tc>
        <w:tc>
          <w:tcPr>
            <w:tcW w:w="5245" w:type="dxa"/>
          </w:tcPr>
          <w:p w14:paraId="78DC8B75">
            <w:pPr>
              <w:widowControl/>
              <w:spacing w:line="360" w:lineRule="auto"/>
              <w:ind w:left="-2" w:leftChars="-50" w:hanging="103" w:hangingChars="43"/>
              <w:jc w:val="left"/>
              <w:rPr>
                <w:rFonts w:ascii="宋体" w:hAnsi="宋体" w:cs="宋体"/>
                <w:sz w:val="24"/>
                <w:szCs w:val="24"/>
              </w:rPr>
            </w:pPr>
          </w:p>
        </w:tc>
      </w:tr>
      <w:tr w14:paraId="15CF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5DE612CD">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日  期：</w:t>
            </w:r>
          </w:p>
        </w:tc>
        <w:tc>
          <w:tcPr>
            <w:tcW w:w="5245" w:type="dxa"/>
          </w:tcPr>
          <w:p w14:paraId="2951D438">
            <w:pPr>
              <w:widowControl/>
              <w:spacing w:line="360" w:lineRule="auto"/>
              <w:ind w:left="-2" w:leftChars="-50" w:hanging="103" w:hangingChars="43"/>
              <w:jc w:val="left"/>
              <w:rPr>
                <w:rFonts w:ascii="宋体" w:hAns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tc>
      </w:tr>
      <w:tr w14:paraId="3531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569CFAA1">
            <w:pPr>
              <w:widowControl/>
              <w:spacing w:line="360" w:lineRule="auto"/>
              <w:ind w:left="-2" w:leftChars="-50" w:hanging="103" w:hangingChars="43"/>
              <w:jc w:val="left"/>
              <w:rPr>
                <w:rFonts w:ascii="宋体" w:hAnsi="宋体" w:cs="宋体"/>
                <w:sz w:val="24"/>
                <w:szCs w:val="24"/>
              </w:rPr>
            </w:pPr>
          </w:p>
        </w:tc>
        <w:tc>
          <w:tcPr>
            <w:tcW w:w="5245" w:type="dxa"/>
          </w:tcPr>
          <w:p w14:paraId="369EC7C1">
            <w:pPr>
              <w:widowControl/>
              <w:spacing w:line="360" w:lineRule="auto"/>
              <w:ind w:left="-2" w:leftChars="-50" w:hanging="103" w:hangingChars="43"/>
              <w:jc w:val="left"/>
              <w:rPr>
                <w:rFonts w:ascii="宋体" w:hAnsi="宋体" w:cs="宋体"/>
                <w:sz w:val="24"/>
                <w:szCs w:val="24"/>
              </w:rPr>
            </w:pPr>
          </w:p>
        </w:tc>
      </w:tr>
      <w:tr w14:paraId="7378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56F07E24">
            <w:pPr>
              <w:pStyle w:val="3"/>
              <w:numPr>
                <w:ilvl w:val="0"/>
                <w:numId w:val="0"/>
              </w:numPr>
              <w:ind w:left="50" w:leftChars="-50" w:hanging="155" w:hangingChars="43"/>
            </w:pPr>
          </w:p>
        </w:tc>
        <w:tc>
          <w:tcPr>
            <w:tcW w:w="5245" w:type="dxa"/>
          </w:tcPr>
          <w:p w14:paraId="7A089573">
            <w:pPr>
              <w:widowControl/>
              <w:spacing w:line="360" w:lineRule="auto"/>
              <w:ind w:left="-2" w:leftChars="-50" w:hanging="103" w:hangingChars="43"/>
              <w:jc w:val="left"/>
              <w:rPr>
                <w:rFonts w:ascii="宋体" w:hAnsi="宋体" w:cs="宋体"/>
                <w:sz w:val="24"/>
                <w:szCs w:val="24"/>
              </w:rPr>
            </w:pPr>
          </w:p>
        </w:tc>
      </w:tr>
      <w:tr w14:paraId="22BB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3221A85D">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乙方（盖章）：</w:t>
            </w:r>
          </w:p>
        </w:tc>
        <w:tc>
          <w:tcPr>
            <w:tcW w:w="5245" w:type="dxa"/>
          </w:tcPr>
          <w:p w14:paraId="0619AF42">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XX公司公司</w:t>
            </w:r>
          </w:p>
        </w:tc>
      </w:tr>
      <w:tr w14:paraId="1C7D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01ADD807">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法定代表人/负责人/</w:t>
            </w:r>
          </w:p>
          <w:p w14:paraId="1EEC3F85">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授权代表（签字）：</w:t>
            </w:r>
          </w:p>
        </w:tc>
        <w:tc>
          <w:tcPr>
            <w:tcW w:w="5245" w:type="dxa"/>
          </w:tcPr>
          <w:p w14:paraId="7F0444EF">
            <w:pPr>
              <w:widowControl/>
              <w:spacing w:line="360" w:lineRule="auto"/>
              <w:ind w:left="-2" w:leftChars="-50" w:hanging="103" w:hangingChars="43"/>
              <w:jc w:val="left"/>
              <w:rPr>
                <w:rFonts w:ascii="宋体" w:hAnsi="宋体" w:cs="宋体"/>
                <w:sz w:val="24"/>
                <w:szCs w:val="24"/>
              </w:rPr>
            </w:pPr>
          </w:p>
        </w:tc>
      </w:tr>
      <w:tr w14:paraId="03F9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415B6E38">
            <w:pPr>
              <w:widowControl/>
              <w:spacing w:line="360" w:lineRule="auto"/>
              <w:ind w:left="-2" w:leftChars="-50" w:hanging="103" w:hangingChars="43"/>
              <w:jc w:val="left"/>
              <w:rPr>
                <w:rFonts w:ascii="宋体" w:hAnsi="宋体" w:cs="宋体"/>
                <w:sz w:val="24"/>
                <w:szCs w:val="24"/>
              </w:rPr>
            </w:pPr>
            <w:r>
              <w:rPr>
                <w:rFonts w:hint="eastAsia" w:ascii="宋体" w:hAnsi="宋体" w:cs="宋体"/>
                <w:sz w:val="24"/>
                <w:szCs w:val="24"/>
              </w:rPr>
              <w:t>日  期：</w:t>
            </w:r>
          </w:p>
        </w:tc>
        <w:tc>
          <w:tcPr>
            <w:tcW w:w="5245" w:type="dxa"/>
          </w:tcPr>
          <w:p w14:paraId="02F9182B">
            <w:pPr>
              <w:widowControl/>
              <w:spacing w:line="360" w:lineRule="auto"/>
              <w:ind w:left="-2" w:leftChars="-50" w:hanging="103" w:hangingChars="43"/>
              <w:jc w:val="left"/>
              <w:rPr>
                <w:rFonts w:ascii="宋体" w:hAns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tc>
      </w:tr>
      <w:tr w14:paraId="4F50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9" w:type="dxa"/>
          </w:tcPr>
          <w:p w14:paraId="308836A7">
            <w:pPr>
              <w:widowControl/>
              <w:spacing w:line="360" w:lineRule="auto"/>
              <w:jc w:val="left"/>
              <w:rPr>
                <w:rFonts w:ascii="宋体" w:hAnsi="宋体" w:cs="宋体"/>
                <w:sz w:val="24"/>
                <w:szCs w:val="24"/>
              </w:rPr>
            </w:pPr>
          </w:p>
        </w:tc>
        <w:tc>
          <w:tcPr>
            <w:tcW w:w="5245" w:type="dxa"/>
          </w:tcPr>
          <w:p w14:paraId="458811EF">
            <w:pPr>
              <w:widowControl/>
              <w:spacing w:line="360" w:lineRule="auto"/>
              <w:jc w:val="left"/>
              <w:rPr>
                <w:rFonts w:ascii="宋体" w:hAnsi="宋体" w:cs="宋体"/>
                <w:sz w:val="24"/>
                <w:szCs w:val="24"/>
              </w:rPr>
            </w:pPr>
          </w:p>
        </w:tc>
      </w:tr>
    </w:tbl>
    <w:p w14:paraId="129BDB14">
      <w:pPr>
        <w:widowControl/>
        <w:jc w:val="left"/>
      </w:pPr>
    </w:p>
    <w:bookmarkEnd w:id="1"/>
    <w:sectPr>
      <w:footerReference r:id="rId3" w:type="default"/>
      <w:pgSz w:w="11907" w:h="16840"/>
      <w:pgMar w:top="1304" w:right="1588" w:bottom="1304"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dobe 黑体 Std R">
    <w:altName w:val="宋体"/>
    <w:panose1 w:val="00000000000000000000"/>
    <w:charset w:val="86"/>
    <w:family w:val="swiss"/>
    <w:pitch w:val="default"/>
    <w:sig w:usb0="00000000" w:usb1="00000000" w:usb2="00000016" w:usb3="00000000" w:csb0="00060007"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pStyle w:val="12"/>
      <w:lvlText w:val="%1."/>
      <w:lvlJc w:val="left"/>
      <w:pPr>
        <w:tabs>
          <w:tab w:val="left" w:pos="780"/>
        </w:tabs>
        <w:ind w:left="780" w:hanging="360"/>
      </w:pPr>
    </w:lvl>
  </w:abstractNum>
  <w:abstractNum w:abstractNumId="1">
    <w:nsid w:val="00000002"/>
    <w:multiLevelType w:val="singleLevel"/>
    <w:tmpl w:val="00000002"/>
    <w:lvl w:ilvl="0" w:tentative="0">
      <w:start w:val="1"/>
      <w:numFmt w:val="decimal"/>
      <w:pStyle w:val="16"/>
      <w:lvlText w:val="%1."/>
      <w:lvlJc w:val="left"/>
      <w:pPr>
        <w:tabs>
          <w:tab w:val="left" w:pos="1200"/>
        </w:tabs>
        <w:ind w:left="1200" w:hanging="360"/>
      </w:pPr>
    </w:lvl>
  </w:abstractNum>
  <w:abstractNum w:abstractNumId="2">
    <w:nsid w:val="0053208E"/>
    <w:multiLevelType w:val="multilevel"/>
    <w:tmpl w:val="0053208E"/>
    <w:lvl w:ilvl="0" w:tentative="0">
      <w:start w:val="1"/>
      <w:numFmt w:val="decimal"/>
      <w:pStyle w:val="3"/>
      <w:lvlText w:val="%1."/>
      <w:lvlJc w:val="left"/>
      <w:pPr>
        <w:ind w:left="432" w:hanging="432"/>
      </w:pPr>
      <w:rPr>
        <w:rFonts w:hint="default"/>
      </w:rPr>
    </w:lvl>
    <w:lvl w:ilvl="1" w:tentative="0">
      <w:start w:val="1"/>
      <w:numFmt w:val="decimal"/>
      <w:pStyle w:val="4"/>
      <w:lvlText w:val="%1.%2."/>
      <w:lvlJc w:val="left"/>
      <w:pPr>
        <w:ind w:left="575" w:hanging="575"/>
      </w:pPr>
      <w:rPr>
        <w:rFonts w:hint="default" w:ascii="宋体" w:eastAsia="宋体"/>
        <w:b/>
        <w:bCs/>
        <w:sz w:val="28"/>
        <w:szCs w:val="28"/>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num w:numId="1">
    <w:abstractNumId w:val="2"/>
  </w:num>
  <w:num w:numId="2">
    <w:abstractNumId w:val="0"/>
  </w:num>
  <w:num w:numId="3">
    <w:abstractNumId w:val="1"/>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