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82D051A">
      <w:pPr>
        <w:spacing w:after="312" w:afterLines="100" w:line="120" w:lineRule="auto"/>
        <w:jc w:val="center"/>
        <w:rPr>
          <w:b/>
          <w:sz w:val="28"/>
          <w:szCs w:val="28"/>
          <w:lang w:eastAsia="zh-CN"/>
        </w:rPr>
      </w:pPr>
      <w:r>
        <w:rPr>
          <w:rFonts w:hint="eastAsia"/>
          <w:b/>
          <w:sz w:val="32"/>
          <w:szCs w:val="32"/>
          <w:u w:val="single"/>
          <w:lang w:val="en-US" w:eastAsia="zh-CN"/>
        </w:rPr>
        <w:t>电动皮卡车</w:t>
      </w:r>
      <w:r>
        <w:rPr>
          <w:rFonts w:hint="eastAsia"/>
          <w:b/>
          <w:sz w:val="28"/>
          <w:szCs w:val="28"/>
          <w:lang w:eastAsia="zh-CN"/>
        </w:rPr>
        <w:t>采购合同</w:t>
      </w:r>
    </w:p>
    <w:p w14:paraId="64786F0F">
      <w:pPr>
        <w:spacing w:line="120" w:lineRule="auto"/>
        <w:rPr>
          <w:sz w:val="24"/>
          <w:lang w:eastAsia="zh-CN"/>
        </w:rPr>
      </w:pPr>
      <w:r>
        <w:rPr>
          <w:rFonts w:hint="eastAsia"/>
          <w:sz w:val="24"/>
          <w:lang w:eastAsia="zh-CN"/>
        </w:rPr>
        <w:t>合同编号：</w:t>
      </w:r>
    </w:p>
    <w:p w14:paraId="444584B6">
      <w:pPr>
        <w:spacing w:line="120" w:lineRule="auto"/>
        <w:rPr>
          <w:sz w:val="24"/>
          <w:lang w:eastAsia="zh-CN"/>
        </w:rPr>
      </w:pPr>
      <w:r>
        <w:rPr>
          <w:rFonts w:hint="eastAsia"/>
          <w:sz w:val="24"/>
          <w:lang w:eastAsia="zh-CN"/>
        </w:rPr>
        <w:t>甲方：翔鹭码头投资管理（漳州）有限公司</w:t>
      </w:r>
      <w:r>
        <w:rPr>
          <w:sz w:val="24"/>
          <w:lang w:eastAsia="zh-CN"/>
        </w:rPr>
        <w:tab/>
      </w:r>
      <w:r>
        <w:rPr>
          <w:rFonts w:hint="eastAsia"/>
          <w:sz w:val="24"/>
          <w:lang w:val="en-US" w:eastAsia="zh-CN"/>
        </w:rPr>
        <w:t xml:space="preserve">    </w:t>
      </w:r>
      <w:r>
        <w:rPr>
          <w:sz w:val="24"/>
          <w:lang w:eastAsia="zh-CN"/>
        </w:rPr>
        <w:t>签订地点：</w:t>
      </w:r>
      <w:r>
        <w:rPr>
          <w:sz w:val="24"/>
          <w:lang w:eastAsia="zh-CN"/>
        </w:rPr>
        <w:tab/>
      </w:r>
      <w:r>
        <w:rPr>
          <w:sz w:val="24"/>
          <w:lang w:eastAsia="zh-CN"/>
        </w:rPr>
        <w:t>漳浦杜浔</w:t>
      </w:r>
    </w:p>
    <w:p w14:paraId="24B59C03">
      <w:pPr>
        <w:spacing w:line="120" w:lineRule="auto"/>
        <w:rPr>
          <w:sz w:val="24"/>
          <w:lang w:eastAsia="zh-CN"/>
        </w:rPr>
      </w:pPr>
      <w:r>
        <w:rPr>
          <w:rFonts w:hint="eastAsia"/>
          <w:sz w:val="24"/>
          <w:lang w:eastAsia="zh-CN"/>
        </w:rPr>
        <w:t>乙方：</w:t>
      </w:r>
      <w:r>
        <w:rPr>
          <w:rFonts w:hint="eastAsia"/>
          <w:sz w:val="24"/>
          <w:lang w:val="en-US" w:eastAsia="zh-CN"/>
        </w:rPr>
        <w:t xml:space="preserve"> </w:t>
      </w:r>
      <w:r>
        <w:rPr>
          <w:sz w:val="24"/>
          <w:lang w:eastAsia="zh-CN"/>
        </w:rPr>
        <w:tab/>
      </w:r>
      <w:r>
        <w:rPr>
          <w:rFonts w:hint="eastAsia"/>
          <w:sz w:val="24"/>
          <w:lang w:val="en-US" w:eastAsia="zh-CN"/>
        </w:rPr>
        <w:t xml:space="preserve">                                </w:t>
      </w:r>
      <w:r>
        <w:rPr>
          <w:sz w:val="24"/>
          <w:lang w:eastAsia="zh-CN"/>
        </w:rPr>
        <w:t>签订日期：</w:t>
      </w:r>
      <w:r>
        <w:rPr>
          <w:sz w:val="24"/>
          <w:lang w:eastAsia="zh-CN"/>
        </w:rPr>
        <w:tab/>
      </w:r>
      <w:r>
        <w:rPr>
          <w:sz w:val="24"/>
          <w:lang w:eastAsia="zh-CN"/>
        </w:rPr>
        <w:t>202</w:t>
      </w:r>
      <w:r>
        <w:rPr>
          <w:rFonts w:hint="eastAsia"/>
          <w:sz w:val="24"/>
          <w:lang w:val="en-US" w:eastAsia="zh-CN"/>
        </w:rPr>
        <w:t>6</w:t>
      </w:r>
      <w:r>
        <w:rPr>
          <w:sz w:val="24"/>
          <w:lang w:eastAsia="zh-CN"/>
        </w:rPr>
        <w:t>年</w:t>
      </w:r>
      <w:r>
        <w:rPr>
          <w:rFonts w:hint="eastAsia"/>
          <w:sz w:val="24"/>
          <w:lang w:val="en-US" w:eastAsia="zh-CN"/>
        </w:rPr>
        <w:t xml:space="preserve"> </w:t>
      </w:r>
      <w:r>
        <w:rPr>
          <w:sz w:val="24"/>
          <w:lang w:eastAsia="zh-CN"/>
        </w:rPr>
        <w:t>月</w:t>
      </w:r>
      <w:r>
        <w:rPr>
          <w:rFonts w:hint="eastAsia"/>
          <w:sz w:val="24"/>
          <w:lang w:val="en-US" w:eastAsia="zh-CN"/>
        </w:rPr>
        <w:t xml:space="preserve"> </w:t>
      </w:r>
      <w:r>
        <w:rPr>
          <w:sz w:val="24"/>
          <w:lang w:eastAsia="zh-CN"/>
        </w:rPr>
        <w:t xml:space="preserve">日  </w:t>
      </w:r>
    </w:p>
    <w:p w14:paraId="66F67739">
      <w:pPr>
        <w:spacing w:line="360" w:lineRule="auto"/>
        <w:ind w:firstLine="480" w:firstLineChars="200"/>
        <w:rPr>
          <w:sz w:val="24"/>
          <w:lang w:eastAsia="zh-CN"/>
        </w:rPr>
      </w:pPr>
      <w:r>
        <w:rPr>
          <w:rFonts w:hint="eastAsia"/>
          <w:sz w:val="24"/>
          <w:lang w:eastAsia="zh-CN"/>
        </w:rPr>
        <w:t>根据甲方采购项目需求，经双方友好协商，就甲方向乙方采购本合同第1条所列产品相关事宜，依据《中华人民共和国民法典》及其他相关法律法规规定，双方签订如下协议：</w:t>
      </w:r>
    </w:p>
    <w:p w14:paraId="499FCE99">
      <w:pPr>
        <w:spacing w:line="360" w:lineRule="auto"/>
        <w:rPr>
          <w:b/>
          <w:bCs/>
          <w:sz w:val="24"/>
          <w:lang w:eastAsia="zh-CN"/>
        </w:rPr>
      </w:pPr>
      <w:r>
        <w:rPr>
          <w:rFonts w:hint="eastAsia"/>
          <w:b/>
          <w:bCs/>
          <w:sz w:val="24"/>
          <w:lang w:eastAsia="zh-CN"/>
        </w:rPr>
        <w:t>第一条 合同标的和合同价格</w:t>
      </w:r>
    </w:p>
    <w:tbl>
      <w:tblPr>
        <w:tblStyle w:val="2"/>
        <w:tblpPr w:leftFromText="180" w:rightFromText="180" w:vertAnchor="text" w:horzAnchor="page" w:tblpX="1721" w:tblpY="287"/>
        <w:tblOverlap w:val="never"/>
        <w:tblW w:w="8936" w:type="dxa"/>
        <w:tblInd w:w="0" w:type="dxa"/>
        <w:tblLayout w:type="fixed"/>
        <w:tblCellMar>
          <w:top w:w="15" w:type="dxa"/>
          <w:left w:w="15" w:type="dxa"/>
          <w:bottom w:w="15" w:type="dxa"/>
          <w:right w:w="15" w:type="dxa"/>
        </w:tblCellMar>
      </w:tblPr>
      <w:tblGrid>
        <w:gridCol w:w="1701"/>
        <w:gridCol w:w="2410"/>
        <w:gridCol w:w="854"/>
        <w:gridCol w:w="1421"/>
        <w:gridCol w:w="1350"/>
        <w:gridCol w:w="1200"/>
      </w:tblGrid>
      <w:tr w14:paraId="6E91A2CB">
        <w:tblPrEx>
          <w:tblCellMar>
            <w:top w:w="15" w:type="dxa"/>
            <w:left w:w="15" w:type="dxa"/>
            <w:bottom w:w="15" w:type="dxa"/>
            <w:right w:w="15" w:type="dxa"/>
          </w:tblCellMar>
        </w:tblPrEx>
        <w:trPr>
          <w:wAfter w:w="0" w:type="auto"/>
          <w:trHeight w:val="645" w:hRule="atLeast"/>
        </w:trPr>
        <w:tc>
          <w:tcPr>
            <w:tcW w:w="1701" w:type="dxa"/>
            <w:tcBorders>
              <w:top w:val="single" w:color="auto" w:sz="4" w:space="0"/>
              <w:left w:val="single" w:color="auto" w:sz="4" w:space="0"/>
              <w:bottom w:val="single" w:color="auto" w:sz="4" w:space="0"/>
              <w:right w:val="single" w:color="000000" w:sz="4" w:space="0"/>
            </w:tcBorders>
            <w:shd w:val="clear" w:color="auto" w:fill="auto"/>
            <w:vAlign w:val="center"/>
          </w:tcPr>
          <w:p w14:paraId="0E1BE0DB">
            <w:pPr>
              <w:widowControl/>
              <w:spacing w:line="264" w:lineRule="auto"/>
              <w:jc w:val="center"/>
              <w:textAlignment w:val="center"/>
              <w:rPr>
                <w:color w:val="000000"/>
                <w:sz w:val="21"/>
                <w:szCs w:val="21"/>
              </w:rPr>
            </w:pPr>
            <w:r>
              <w:rPr>
                <w:color w:val="000000"/>
                <w:sz w:val="21"/>
                <w:szCs w:val="21"/>
                <w:lang w:eastAsia="zh-CN" w:bidi="ar"/>
              </w:rPr>
              <w:t>产品</w:t>
            </w:r>
            <w:r>
              <w:rPr>
                <w:rFonts w:hint="eastAsia"/>
                <w:color w:val="000000"/>
                <w:sz w:val="21"/>
                <w:szCs w:val="21"/>
                <w:lang w:eastAsia="zh-CN" w:bidi="ar"/>
              </w:rPr>
              <w:t>名称</w:t>
            </w:r>
          </w:p>
        </w:tc>
        <w:tc>
          <w:tcPr>
            <w:tcW w:w="2410" w:type="dxa"/>
            <w:tcBorders>
              <w:top w:val="single" w:color="000000" w:sz="4" w:space="0"/>
              <w:left w:val="single" w:color="000000" w:sz="4" w:space="0"/>
              <w:bottom w:val="single" w:color="000000" w:sz="4" w:space="0"/>
              <w:right w:val="single" w:color="auto" w:sz="4" w:space="0"/>
            </w:tcBorders>
            <w:shd w:val="clear" w:color="auto" w:fill="auto"/>
            <w:vAlign w:val="center"/>
          </w:tcPr>
          <w:p w14:paraId="1B5F22FA">
            <w:pPr>
              <w:widowControl/>
              <w:spacing w:line="264" w:lineRule="auto"/>
              <w:jc w:val="center"/>
              <w:textAlignment w:val="center"/>
              <w:rPr>
                <w:color w:val="000000"/>
                <w:sz w:val="21"/>
                <w:szCs w:val="21"/>
                <w:lang w:eastAsia="zh-CN"/>
              </w:rPr>
            </w:pPr>
            <w:r>
              <w:rPr>
                <w:rFonts w:hint="eastAsia"/>
                <w:color w:val="000000"/>
                <w:sz w:val="21"/>
                <w:szCs w:val="21"/>
                <w:lang w:eastAsia="zh-CN" w:bidi="ar"/>
              </w:rPr>
              <w:t>规格</w:t>
            </w:r>
            <w:r>
              <w:rPr>
                <w:rFonts w:hint="eastAsia"/>
                <w:color w:val="000000"/>
                <w:sz w:val="21"/>
                <w:szCs w:val="21"/>
                <w:lang w:bidi="ar"/>
              </w:rPr>
              <w:t>型号</w:t>
            </w:r>
          </w:p>
        </w:tc>
        <w:tc>
          <w:tcPr>
            <w:tcW w:w="8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1C6F1A">
            <w:pPr>
              <w:widowControl/>
              <w:spacing w:line="264" w:lineRule="auto"/>
              <w:jc w:val="center"/>
              <w:textAlignment w:val="center"/>
              <w:rPr>
                <w:color w:val="000000"/>
                <w:sz w:val="21"/>
                <w:szCs w:val="21"/>
              </w:rPr>
            </w:pPr>
            <w:r>
              <w:rPr>
                <w:rFonts w:hint="eastAsia"/>
                <w:color w:val="000000"/>
                <w:sz w:val="21"/>
                <w:szCs w:val="21"/>
                <w:lang w:bidi="ar"/>
              </w:rPr>
              <w:t>数量</w:t>
            </w:r>
          </w:p>
        </w:tc>
        <w:tc>
          <w:tcPr>
            <w:tcW w:w="14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0096E7">
            <w:pPr>
              <w:widowControl/>
              <w:spacing w:line="264" w:lineRule="auto"/>
              <w:jc w:val="center"/>
              <w:textAlignment w:val="center"/>
              <w:rPr>
                <w:color w:val="000000"/>
                <w:sz w:val="21"/>
                <w:szCs w:val="21"/>
              </w:rPr>
            </w:pPr>
            <w:r>
              <w:rPr>
                <w:rFonts w:hint="eastAsia"/>
                <w:color w:val="000000"/>
                <w:sz w:val="21"/>
                <w:szCs w:val="21"/>
                <w:lang w:bidi="ar"/>
              </w:rPr>
              <w:t>含税单价</w:t>
            </w:r>
            <w:bookmarkStart w:id="0" w:name="_GoBack"/>
            <w:bookmarkEnd w:id="0"/>
            <w:r>
              <w:rPr>
                <w:color w:val="000000"/>
                <w:sz w:val="21"/>
                <w:szCs w:val="21"/>
                <w:lang w:eastAsia="zh-CN" w:bidi="ar"/>
              </w:rPr>
              <w:t>/</w:t>
            </w:r>
            <w:r>
              <w:rPr>
                <w:rFonts w:hint="eastAsia"/>
                <w:color w:val="000000"/>
                <w:sz w:val="21"/>
                <w:szCs w:val="21"/>
                <w:lang w:eastAsia="zh-CN" w:bidi="ar"/>
              </w:rPr>
              <w:t>元</w:t>
            </w:r>
          </w:p>
        </w:tc>
        <w:tc>
          <w:tcPr>
            <w:tcW w:w="1350" w:type="dxa"/>
            <w:tcBorders>
              <w:top w:val="single" w:color="000000" w:sz="4" w:space="0"/>
              <w:left w:val="single" w:color="000000" w:sz="4" w:space="0"/>
              <w:bottom w:val="single" w:color="000000" w:sz="4" w:space="0"/>
              <w:right w:val="single" w:color="000000" w:sz="4" w:space="0"/>
            </w:tcBorders>
            <w:vAlign w:val="center"/>
          </w:tcPr>
          <w:p w14:paraId="01F16D96">
            <w:pPr>
              <w:widowControl/>
              <w:spacing w:line="264" w:lineRule="auto"/>
              <w:jc w:val="center"/>
              <w:textAlignment w:val="center"/>
              <w:rPr>
                <w:color w:val="000000"/>
                <w:sz w:val="21"/>
                <w:szCs w:val="21"/>
                <w:lang w:bidi="ar"/>
              </w:rPr>
            </w:pPr>
            <w:r>
              <w:rPr>
                <w:rFonts w:hint="eastAsia"/>
                <w:color w:val="000000"/>
                <w:sz w:val="21"/>
                <w:szCs w:val="21"/>
                <w:lang w:bidi="ar"/>
              </w:rPr>
              <w:t>优惠政策及</w:t>
            </w:r>
          </w:p>
          <w:p w14:paraId="5A8096FC">
            <w:pPr>
              <w:widowControl/>
              <w:spacing w:line="264" w:lineRule="auto"/>
              <w:jc w:val="center"/>
              <w:textAlignment w:val="center"/>
              <w:rPr>
                <w:color w:val="000000"/>
                <w:sz w:val="21"/>
                <w:szCs w:val="21"/>
                <w:lang w:bidi="ar"/>
              </w:rPr>
            </w:pPr>
            <w:r>
              <w:rPr>
                <w:rFonts w:hint="eastAsia"/>
                <w:color w:val="000000"/>
                <w:sz w:val="21"/>
                <w:szCs w:val="21"/>
                <w:lang w:bidi="ar"/>
              </w:rPr>
              <w:t>增值服务</w:t>
            </w:r>
          </w:p>
        </w:tc>
        <w:tc>
          <w:tcPr>
            <w:tcW w:w="1200" w:type="dxa"/>
            <w:tcBorders>
              <w:top w:val="single" w:color="000000" w:sz="4" w:space="0"/>
              <w:left w:val="single" w:color="000000" w:sz="4" w:space="0"/>
              <w:bottom w:val="single" w:color="000000" w:sz="4" w:space="0"/>
              <w:right w:val="single" w:color="000000" w:sz="4" w:space="0"/>
            </w:tcBorders>
            <w:vAlign w:val="center"/>
          </w:tcPr>
          <w:p w14:paraId="5A7609BE">
            <w:pPr>
              <w:widowControl/>
              <w:spacing w:line="264" w:lineRule="auto"/>
              <w:jc w:val="center"/>
              <w:textAlignment w:val="center"/>
              <w:rPr>
                <w:color w:val="000000"/>
                <w:sz w:val="21"/>
                <w:szCs w:val="21"/>
                <w:lang w:bidi="ar"/>
              </w:rPr>
            </w:pPr>
            <w:r>
              <w:rPr>
                <w:rFonts w:hint="eastAsia"/>
                <w:color w:val="000000"/>
                <w:sz w:val="21"/>
                <w:szCs w:val="21"/>
                <w:lang w:bidi="ar"/>
              </w:rPr>
              <w:t>备注</w:t>
            </w:r>
          </w:p>
        </w:tc>
      </w:tr>
      <w:tr w14:paraId="7DCB385F">
        <w:tblPrEx>
          <w:tblCellMar>
            <w:top w:w="15" w:type="dxa"/>
            <w:left w:w="15" w:type="dxa"/>
            <w:bottom w:w="15" w:type="dxa"/>
            <w:right w:w="15" w:type="dxa"/>
          </w:tblCellMar>
        </w:tblPrEx>
        <w:trPr>
          <w:wAfter w:w="0" w:type="auto"/>
          <w:trHeight w:val="429" w:hRule="atLeast"/>
        </w:trPr>
        <w:tc>
          <w:tcPr>
            <w:tcW w:w="1701" w:type="dxa"/>
            <w:vMerge w:val="restart"/>
            <w:tcBorders>
              <w:top w:val="single" w:color="auto" w:sz="4" w:space="0"/>
              <w:left w:val="single" w:color="auto" w:sz="4" w:space="0"/>
              <w:right w:val="single" w:color="auto" w:sz="4" w:space="0"/>
            </w:tcBorders>
            <w:shd w:val="clear" w:color="auto" w:fill="auto"/>
            <w:vAlign w:val="center"/>
          </w:tcPr>
          <w:p w14:paraId="69CC8C85">
            <w:pPr>
              <w:widowControl/>
              <w:autoSpaceDE/>
              <w:autoSpaceDN/>
              <w:spacing w:line="264" w:lineRule="auto"/>
              <w:jc w:val="center"/>
              <w:rPr>
                <w:rFonts w:hint="eastAsia" w:cs="Arial" w:asciiTheme="minorEastAsia" w:hAnsiTheme="minorEastAsia" w:eastAsiaTheme="minorEastAsia"/>
                <w:sz w:val="18"/>
                <w:szCs w:val="20"/>
                <w:lang w:eastAsia="zh-CN"/>
              </w:rPr>
            </w:pPr>
            <w:r>
              <w:rPr>
                <w:rFonts w:hint="eastAsia" w:cs="Arial" w:asciiTheme="minorEastAsia" w:hAnsiTheme="minorEastAsia" w:eastAsiaTheme="minorEastAsia"/>
                <w:sz w:val="18"/>
                <w:szCs w:val="20"/>
                <w:lang w:eastAsia="zh-CN"/>
              </w:rPr>
              <w:t>电动皮卡车</w:t>
            </w:r>
          </w:p>
        </w:tc>
        <w:tc>
          <w:tcPr>
            <w:tcW w:w="2410" w:type="dxa"/>
            <w:tcBorders>
              <w:top w:val="single" w:color="auto" w:sz="4" w:space="0"/>
              <w:left w:val="single" w:color="auto" w:sz="4" w:space="0"/>
              <w:bottom w:val="single" w:color="auto" w:sz="4" w:space="0"/>
              <w:right w:val="single" w:color="auto" w:sz="4" w:space="0"/>
            </w:tcBorders>
            <w:shd w:val="clear" w:color="auto" w:fill="auto"/>
            <w:vAlign w:val="center"/>
          </w:tcPr>
          <w:p w14:paraId="19380D34">
            <w:pPr>
              <w:widowControl/>
              <w:autoSpaceDE/>
              <w:autoSpaceDN/>
              <w:spacing w:line="264" w:lineRule="auto"/>
              <w:jc w:val="center"/>
              <w:rPr>
                <w:rFonts w:hint="eastAsia" w:ascii="Arial" w:hAnsi="Arial" w:cs="Arial"/>
                <w:sz w:val="20"/>
                <w:szCs w:val="20"/>
                <w:lang w:eastAsia="zh-CN"/>
              </w:rPr>
            </w:pPr>
            <w:r>
              <w:rPr>
                <w:rFonts w:hint="eastAsia" w:ascii="Arial" w:hAnsi="Arial" w:cs="Arial"/>
                <w:sz w:val="20"/>
                <w:szCs w:val="20"/>
                <w:lang w:eastAsia="zh-CN"/>
              </w:rPr>
              <w:t>雷达金刚EV\纯电版/续航310KM/245马力/2025款，配备三相充电桩</w:t>
            </w:r>
          </w:p>
        </w:tc>
        <w:tc>
          <w:tcPr>
            <w:tcW w:w="854" w:type="dxa"/>
            <w:vMerge w:val="restart"/>
            <w:tcBorders>
              <w:top w:val="single" w:color="auto" w:sz="4" w:space="0"/>
              <w:left w:val="single" w:color="auto" w:sz="4" w:space="0"/>
              <w:right w:val="single" w:color="auto" w:sz="4" w:space="0"/>
            </w:tcBorders>
            <w:shd w:val="clear" w:color="auto" w:fill="auto"/>
            <w:vAlign w:val="center"/>
          </w:tcPr>
          <w:p w14:paraId="34DAA470">
            <w:pPr>
              <w:spacing w:line="264" w:lineRule="auto"/>
              <w:jc w:val="center"/>
              <w:rPr>
                <w:rFonts w:ascii="Arial" w:hAnsi="Arial" w:cs="Arial"/>
                <w:sz w:val="20"/>
                <w:szCs w:val="20"/>
              </w:rPr>
            </w:pPr>
            <w:r>
              <w:rPr>
                <w:rFonts w:ascii="Arial" w:hAnsi="Arial" w:cs="Arial"/>
                <w:sz w:val="20"/>
                <w:szCs w:val="20"/>
              </w:rPr>
              <w:t>1辆</w:t>
            </w:r>
          </w:p>
        </w:tc>
        <w:tc>
          <w:tcPr>
            <w:tcW w:w="14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8D65FA">
            <w:pPr>
              <w:spacing w:line="264" w:lineRule="auto"/>
              <w:jc w:val="center"/>
              <w:rPr>
                <w:rFonts w:asciiTheme="minorEastAsia" w:hAnsiTheme="minorEastAsia" w:eastAsiaTheme="minorEastAsia"/>
                <w:color w:val="000000"/>
                <w:sz w:val="18"/>
                <w:szCs w:val="18"/>
              </w:rPr>
            </w:pPr>
          </w:p>
        </w:tc>
        <w:tc>
          <w:tcPr>
            <w:tcW w:w="1350" w:type="dxa"/>
            <w:vMerge w:val="restart"/>
            <w:tcBorders>
              <w:top w:val="single" w:color="000000" w:sz="4" w:space="0"/>
              <w:left w:val="single" w:color="000000" w:sz="4" w:space="0"/>
              <w:right w:val="single" w:color="000000" w:sz="4" w:space="0"/>
            </w:tcBorders>
            <w:vAlign w:val="center"/>
          </w:tcPr>
          <w:p w14:paraId="5DE85EB0">
            <w:pPr>
              <w:spacing w:line="264" w:lineRule="auto"/>
              <w:jc w:val="center"/>
              <w:rPr>
                <w:rFonts w:asciiTheme="minorEastAsia" w:hAnsiTheme="minorEastAsia" w:eastAsiaTheme="minorEastAsia"/>
                <w:color w:val="000000"/>
                <w:sz w:val="18"/>
                <w:szCs w:val="18"/>
              </w:rPr>
            </w:pPr>
          </w:p>
        </w:tc>
        <w:tc>
          <w:tcPr>
            <w:tcW w:w="1200" w:type="dxa"/>
            <w:tcBorders>
              <w:top w:val="single" w:color="000000" w:sz="4" w:space="0"/>
              <w:left w:val="single" w:color="000000" w:sz="4" w:space="0"/>
              <w:bottom w:val="single" w:color="000000" w:sz="4" w:space="0"/>
              <w:right w:val="single" w:color="000000" w:sz="4" w:space="0"/>
            </w:tcBorders>
            <w:vAlign w:val="center"/>
          </w:tcPr>
          <w:p w14:paraId="5798AE1B">
            <w:pPr>
              <w:spacing w:line="264" w:lineRule="auto"/>
              <w:jc w:val="center"/>
              <w:rPr>
                <w:rFonts w:asciiTheme="minorEastAsia" w:hAnsiTheme="minorEastAsia" w:eastAsiaTheme="minorEastAsia"/>
                <w:color w:val="000000"/>
                <w:sz w:val="18"/>
                <w:szCs w:val="18"/>
                <w:lang w:eastAsia="zh-CN"/>
              </w:rPr>
            </w:pPr>
          </w:p>
        </w:tc>
      </w:tr>
      <w:tr w14:paraId="44D5DFB2">
        <w:tblPrEx>
          <w:tblCellMar>
            <w:top w:w="15" w:type="dxa"/>
            <w:left w:w="15" w:type="dxa"/>
            <w:bottom w:w="15" w:type="dxa"/>
            <w:right w:w="15" w:type="dxa"/>
          </w:tblCellMar>
        </w:tblPrEx>
        <w:trPr>
          <w:wAfter w:w="0" w:type="auto"/>
          <w:trHeight w:val="429" w:hRule="atLeast"/>
        </w:trPr>
        <w:tc>
          <w:tcPr>
            <w:tcW w:w="1701" w:type="dxa"/>
            <w:vMerge w:val="continue"/>
            <w:tcBorders>
              <w:left w:val="single" w:color="auto" w:sz="4" w:space="0"/>
              <w:right w:val="single" w:color="auto" w:sz="4" w:space="0"/>
            </w:tcBorders>
            <w:shd w:val="clear" w:color="auto" w:fill="auto"/>
            <w:vAlign w:val="center"/>
          </w:tcPr>
          <w:p w14:paraId="6B1903A2">
            <w:pPr>
              <w:widowControl/>
              <w:autoSpaceDE/>
              <w:autoSpaceDN/>
              <w:spacing w:line="264" w:lineRule="auto"/>
              <w:jc w:val="center"/>
              <w:rPr>
                <w:rFonts w:hint="eastAsia" w:cs="Arial" w:asciiTheme="minorEastAsia" w:hAnsiTheme="minorEastAsia" w:eastAsiaTheme="minorEastAsia"/>
                <w:sz w:val="18"/>
                <w:szCs w:val="20"/>
                <w:lang w:eastAsia="zh-CN"/>
              </w:rPr>
            </w:pPr>
          </w:p>
        </w:tc>
        <w:tc>
          <w:tcPr>
            <w:tcW w:w="2410" w:type="dxa"/>
            <w:tcBorders>
              <w:top w:val="single" w:color="auto" w:sz="4" w:space="0"/>
              <w:left w:val="single" w:color="auto" w:sz="4" w:space="0"/>
              <w:bottom w:val="single" w:color="auto" w:sz="4" w:space="0"/>
              <w:right w:val="single" w:color="auto" w:sz="4" w:space="0"/>
            </w:tcBorders>
            <w:shd w:val="clear" w:color="auto" w:fill="auto"/>
            <w:vAlign w:val="center"/>
          </w:tcPr>
          <w:p w14:paraId="02F12034">
            <w:pPr>
              <w:widowControl/>
              <w:autoSpaceDE/>
              <w:autoSpaceDN/>
              <w:spacing w:line="264" w:lineRule="auto"/>
              <w:jc w:val="center"/>
              <w:rPr>
                <w:rFonts w:hint="eastAsia" w:ascii="Arial" w:hAnsi="Arial" w:cs="Arial"/>
                <w:sz w:val="20"/>
                <w:szCs w:val="20"/>
                <w:lang w:eastAsia="zh-CN"/>
              </w:rPr>
            </w:pPr>
            <w:r>
              <w:rPr>
                <w:rFonts w:ascii="Arial" w:hAnsi="Arial" w:cs="Arial"/>
                <w:sz w:val="20"/>
                <w:szCs w:val="20"/>
                <w:lang w:eastAsia="zh-CN"/>
              </w:rPr>
              <w:t>购置税</w:t>
            </w:r>
          </w:p>
        </w:tc>
        <w:tc>
          <w:tcPr>
            <w:tcW w:w="854" w:type="dxa"/>
            <w:vMerge w:val="continue"/>
            <w:tcBorders>
              <w:left w:val="single" w:color="auto" w:sz="4" w:space="0"/>
              <w:right w:val="single" w:color="auto" w:sz="4" w:space="0"/>
            </w:tcBorders>
            <w:shd w:val="clear" w:color="auto" w:fill="auto"/>
            <w:vAlign w:val="center"/>
          </w:tcPr>
          <w:p w14:paraId="4E24B22D">
            <w:pPr>
              <w:spacing w:line="264" w:lineRule="auto"/>
              <w:jc w:val="center"/>
              <w:rPr>
                <w:rFonts w:ascii="Arial" w:hAnsi="Arial" w:cs="Arial"/>
                <w:sz w:val="20"/>
                <w:szCs w:val="20"/>
              </w:rPr>
            </w:pPr>
          </w:p>
        </w:tc>
        <w:tc>
          <w:tcPr>
            <w:tcW w:w="14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9E1ED1">
            <w:pPr>
              <w:spacing w:line="264" w:lineRule="auto"/>
              <w:jc w:val="center"/>
              <w:rPr>
                <w:rFonts w:asciiTheme="minorEastAsia" w:hAnsiTheme="minorEastAsia" w:eastAsiaTheme="minorEastAsia"/>
                <w:color w:val="000000"/>
                <w:sz w:val="18"/>
                <w:szCs w:val="18"/>
              </w:rPr>
            </w:pPr>
          </w:p>
        </w:tc>
        <w:tc>
          <w:tcPr>
            <w:tcW w:w="1350" w:type="dxa"/>
            <w:vMerge w:val="continue"/>
            <w:tcBorders>
              <w:left w:val="single" w:color="000000" w:sz="4" w:space="0"/>
              <w:right w:val="single" w:color="000000" w:sz="4" w:space="0"/>
            </w:tcBorders>
            <w:vAlign w:val="center"/>
          </w:tcPr>
          <w:p w14:paraId="0D069A9F">
            <w:pPr>
              <w:spacing w:line="264" w:lineRule="auto"/>
              <w:jc w:val="center"/>
              <w:rPr>
                <w:rFonts w:asciiTheme="minorEastAsia" w:hAnsiTheme="minorEastAsia" w:eastAsiaTheme="minorEastAsia"/>
                <w:color w:val="000000"/>
                <w:sz w:val="18"/>
                <w:szCs w:val="18"/>
              </w:rPr>
            </w:pPr>
          </w:p>
        </w:tc>
        <w:tc>
          <w:tcPr>
            <w:tcW w:w="1200" w:type="dxa"/>
            <w:tcBorders>
              <w:top w:val="single" w:color="000000" w:sz="4" w:space="0"/>
              <w:left w:val="single" w:color="000000" w:sz="4" w:space="0"/>
              <w:bottom w:val="single" w:color="000000" w:sz="4" w:space="0"/>
              <w:right w:val="single" w:color="000000" w:sz="4" w:space="0"/>
            </w:tcBorders>
            <w:vAlign w:val="center"/>
          </w:tcPr>
          <w:p w14:paraId="6679AFDD">
            <w:pPr>
              <w:spacing w:line="264" w:lineRule="auto"/>
              <w:jc w:val="center"/>
              <w:rPr>
                <w:rFonts w:asciiTheme="minorEastAsia" w:hAnsiTheme="minorEastAsia" w:eastAsiaTheme="minorEastAsia"/>
                <w:color w:val="000000"/>
                <w:sz w:val="18"/>
                <w:szCs w:val="18"/>
                <w:lang w:eastAsia="zh-CN"/>
              </w:rPr>
            </w:pPr>
          </w:p>
        </w:tc>
      </w:tr>
      <w:tr w14:paraId="798A7A3E">
        <w:tblPrEx>
          <w:tblCellMar>
            <w:top w:w="15" w:type="dxa"/>
            <w:left w:w="15" w:type="dxa"/>
            <w:bottom w:w="15" w:type="dxa"/>
            <w:right w:w="15" w:type="dxa"/>
          </w:tblCellMar>
        </w:tblPrEx>
        <w:trPr>
          <w:wAfter w:w="0" w:type="auto"/>
          <w:trHeight w:val="429" w:hRule="atLeast"/>
        </w:trPr>
        <w:tc>
          <w:tcPr>
            <w:tcW w:w="1701" w:type="dxa"/>
            <w:vMerge w:val="continue"/>
            <w:tcBorders>
              <w:left w:val="single" w:color="auto" w:sz="4" w:space="0"/>
              <w:right w:val="single" w:color="auto" w:sz="4" w:space="0"/>
            </w:tcBorders>
            <w:shd w:val="clear" w:color="auto" w:fill="auto"/>
            <w:vAlign w:val="center"/>
          </w:tcPr>
          <w:p w14:paraId="75B0DCB1">
            <w:pPr>
              <w:widowControl/>
              <w:autoSpaceDE/>
              <w:autoSpaceDN/>
              <w:spacing w:line="264" w:lineRule="auto"/>
              <w:jc w:val="center"/>
              <w:rPr>
                <w:rFonts w:hint="eastAsia" w:cs="Arial" w:asciiTheme="minorEastAsia" w:hAnsiTheme="minorEastAsia" w:eastAsiaTheme="minorEastAsia"/>
                <w:sz w:val="18"/>
                <w:szCs w:val="20"/>
                <w:lang w:eastAsia="zh-CN"/>
              </w:rPr>
            </w:pPr>
          </w:p>
        </w:tc>
        <w:tc>
          <w:tcPr>
            <w:tcW w:w="2410" w:type="dxa"/>
            <w:tcBorders>
              <w:top w:val="single" w:color="auto" w:sz="4" w:space="0"/>
              <w:left w:val="single" w:color="auto" w:sz="4" w:space="0"/>
              <w:bottom w:val="single" w:color="auto" w:sz="4" w:space="0"/>
              <w:right w:val="single" w:color="auto" w:sz="4" w:space="0"/>
            </w:tcBorders>
            <w:shd w:val="clear" w:color="auto" w:fill="auto"/>
            <w:vAlign w:val="center"/>
          </w:tcPr>
          <w:p w14:paraId="5BC20344">
            <w:pPr>
              <w:widowControl/>
              <w:autoSpaceDE/>
              <w:autoSpaceDN/>
              <w:spacing w:line="264" w:lineRule="auto"/>
              <w:jc w:val="center"/>
              <w:rPr>
                <w:rFonts w:hint="eastAsia" w:ascii="Arial" w:hAnsi="Arial" w:cs="Arial"/>
                <w:sz w:val="20"/>
                <w:szCs w:val="20"/>
                <w:lang w:eastAsia="zh-CN"/>
              </w:rPr>
            </w:pPr>
            <w:r>
              <w:rPr>
                <w:rFonts w:ascii="Arial" w:hAnsi="Arial" w:cs="Arial"/>
                <w:sz w:val="20"/>
                <w:szCs w:val="20"/>
                <w:lang w:eastAsia="zh-CN"/>
              </w:rPr>
              <w:t>保险费</w:t>
            </w:r>
          </w:p>
        </w:tc>
        <w:tc>
          <w:tcPr>
            <w:tcW w:w="854" w:type="dxa"/>
            <w:vMerge w:val="continue"/>
            <w:tcBorders>
              <w:left w:val="single" w:color="auto" w:sz="4" w:space="0"/>
              <w:right w:val="single" w:color="auto" w:sz="4" w:space="0"/>
            </w:tcBorders>
            <w:shd w:val="clear" w:color="auto" w:fill="auto"/>
            <w:vAlign w:val="center"/>
          </w:tcPr>
          <w:p w14:paraId="56563A29">
            <w:pPr>
              <w:spacing w:line="264" w:lineRule="auto"/>
              <w:jc w:val="center"/>
              <w:rPr>
                <w:rFonts w:ascii="Arial" w:hAnsi="Arial" w:cs="Arial"/>
                <w:sz w:val="20"/>
                <w:szCs w:val="20"/>
              </w:rPr>
            </w:pPr>
          </w:p>
        </w:tc>
        <w:tc>
          <w:tcPr>
            <w:tcW w:w="14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72BAA1">
            <w:pPr>
              <w:spacing w:line="264" w:lineRule="auto"/>
              <w:jc w:val="center"/>
              <w:rPr>
                <w:rFonts w:asciiTheme="minorEastAsia" w:hAnsiTheme="minorEastAsia" w:eastAsiaTheme="minorEastAsia"/>
                <w:color w:val="000000"/>
                <w:sz w:val="18"/>
                <w:szCs w:val="18"/>
              </w:rPr>
            </w:pPr>
          </w:p>
        </w:tc>
        <w:tc>
          <w:tcPr>
            <w:tcW w:w="1350" w:type="dxa"/>
            <w:vMerge w:val="continue"/>
            <w:tcBorders>
              <w:left w:val="single" w:color="000000" w:sz="4" w:space="0"/>
              <w:right w:val="single" w:color="000000" w:sz="4" w:space="0"/>
            </w:tcBorders>
            <w:vAlign w:val="center"/>
          </w:tcPr>
          <w:p w14:paraId="7AC1A39D">
            <w:pPr>
              <w:spacing w:line="264" w:lineRule="auto"/>
              <w:jc w:val="center"/>
              <w:rPr>
                <w:rFonts w:asciiTheme="minorEastAsia" w:hAnsiTheme="minorEastAsia" w:eastAsiaTheme="minorEastAsia"/>
                <w:color w:val="000000"/>
                <w:sz w:val="18"/>
                <w:szCs w:val="18"/>
              </w:rPr>
            </w:pPr>
          </w:p>
        </w:tc>
        <w:tc>
          <w:tcPr>
            <w:tcW w:w="1200" w:type="dxa"/>
            <w:tcBorders>
              <w:top w:val="single" w:color="000000" w:sz="4" w:space="0"/>
              <w:left w:val="single" w:color="000000" w:sz="4" w:space="0"/>
              <w:bottom w:val="single" w:color="000000" w:sz="4" w:space="0"/>
              <w:right w:val="single" w:color="000000" w:sz="4" w:space="0"/>
            </w:tcBorders>
            <w:vAlign w:val="center"/>
          </w:tcPr>
          <w:p w14:paraId="3EE4C468">
            <w:pPr>
              <w:spacing w:line="264" w:lineRule="auto"/>
              <w:jc w:val="center"/>
              <w:rPr>
                <w:rFonts w:asciiTheme="minorEastAsia" w:hAnsiTheme="minorEastAsia" w:eastAsiaTheme="minorEastAsia"/>
                <w:color w:val="000000"/>
                <w:sz w:val="18"/>
                <w:szCs w:val="18"/>
                <w:lang w:eastAsia="zh-CN"/>
              </w:rPr>
            </w:pPr>
          </w:p>
        </w:tc>
      </w:tr>
      <w:tr w14:paraId="1782A7AB">
        <w:tblPrEx>
          <w:tblCellMar>
            <w:top w:w="15" w:type="dxa"/>
            <w:left w:w="15" w:type="dxa"/>
            <w:bottom w:w="15" w:type="dxa"/>
            <w:right w:w="15" w:type="dxa"/>
          </w:tblCellMar>
        </w:tblPrEx>
        <w:trPr>
          <w:wAfter w:w="0" w:type="auto"/>
          <w:trHeight w:val="429" w:hRule="atLeast"/>
        </w:trPr>
        <w:tc>
          <w:tcPr>
            <w:tcW w:w="1701" w:type="dxa"/>
            <w:vMerge w:val="continue"/>
            <w:tcBorders>
              <w:left w:val="single" w:color="auto" w:sz="4" w:space="0"/>
              <w:right w:val="single" w:color="auto" w:sz="4" w:space="0"/>
            </w:tcBorders>
            <w:shd w:val="clear" w:color="auto" w:fill="auto"/>
            <w:vAlign w:val="center"/>
          </w:tcPr>
          <w:p w14:paraId="7DDDD241">
            <w:pPr>
              <w:widowControl/>
              <w:autoSpaceDE/>
              <w:autoSpaceDN/>
              <w:spacing w:line="264" w:lineRule="auto"/>
              <w:jc w:val="center"/>
              <w:rPr>
                <w:rFonts w:hint="eastAsia" w:cs="Arial" w:asciiTheme="minorEastAsia" w:hAnsiTheme="minorEastAsia" w:eastAsiaTheme="minorEastAsia"/>
                <w:sz w:val="18"/>
                <w:szCs w:val="20"/>
                <w:lang w:eastAsia="zh-CN"/>
              </w:rPr>
            </w:pPr>
          </w:p>
        </w:tc>
        <w:tc>
          <w:tcPr>
            <w:tcW w:w="2410" w:type="dxa"/>
            <w:tcBorders>
              <w:top w:val="single" w:color="auto" w:sz="4" w:space="0"/>
              <w:left w:val="single" w:color="auto" w:sz="4" w:space="0"/>
              <w:bottom w:val="single" w:color="auto" w:sz="4" w:space="0"/>
              <w:right w:val="single" w:color="auto" w:sz="4" w:space="0"/>
            </w:tcBorders>
            <w:shd w:val="clear" w:color="auto" w:fill="auto"/>
            <w:vAlign w:val="center"/>
          </w:tcPr>
          <w:p w14:paraId="226ACD5E">
            <w:pPr>
              <w:widowControl/>
              <w:autoSpaceDE/>
              <w:autoSpaceDN/>
              <w:spacing w:line="264" w:lineRule="auto"/>
              <w:jc w:val="center"/>
              <w:rPr>
                <w:rFonts w:hint="eastAsia" w:ascii="Arial" w:hAnsi="Arial" w:cs="Arial"/>
                <w:sz w:val="20"/>
                <w:szCs w:val="20"/>
                <w:lang w:eastAsia="zh-CN"/>
              </w:rPr>
            </w:pPr>
            <w:r>
              <w:rPr>
                <w:rFonts w:hint="eastAsia" w:ascii="Arial" w:hAnsi="Arial" w:cs="Arial"/>
                <w:sz w:val="20"/>
                <w:szCs w:val="20"/>
                <w:lang w:val="en-US" w:eastAsia="zh-CN"/>
              </w:rPr>
              <w:t>报牌费</w:t>
            </w:r>
          </w:p>
        </w:tc>
        <w:tc>
          <w:tcPr>
            <w:tcW w:w="854" w:type="dxa"/>
            <w:vMerge w:val="continue"/>
            <w:tcBorders>
              <w:left w:val="single" w:color="auto" w:sz="4" w:space="0"/>
              <w:right w:val="single" w:color="auto" w:sz="4" w:space="0"/>
            </w:tcBorders>
            <w:shd w:val="clear" w:color="auto" w:fill="auto"/>
            <w:vAlign w:val="center"/>
          </w:tcPr>
          <w:p w14:paraId="5F1B1B59">
            <w:pPr>
              <w:spacing w:line="264" w:lineRule="auto"/>
              <w:jc w:val="center"/>
              <w:rPr>
                <w:rFonts w:ascii="Arial" w:hAnsi="Arial" w:cs="Arial"/>
                <w:sz w:val="20"/>
                <w:szCs w:val="20"/>
              </w:rPr>
            </w:pPr>
          </w:p>
        </w:tc>
        <w:tc>
          <w:tcPr>
            <w:tcW w:w="14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D11FE2">
            <w:pPr>
              <w:spacing w:line="264" w:lineRule="auto"/>
              <w:jc w:val="center"/>
              <w:rPr>
                <w:rFonts w:asciiTheme="minorEastAsia" w:hAnsiTheme="minorEastAsia" w:eastAsiaTheme="minorEastAsia"/>
                <w:color w:val="000000"/>
                <w:sz w:val="18"/>
                <w:szCs w:val="18"/>
              </w:rPr>
            </w:pPr>
          </w:p>
        </w:tc>
        <w:tc>
          <w:tcPr>
            <w:tcW w:w="1350" w:type="dxa"/>
            <w:vMerge w:val="continue"/>
            <w:tcBorders>
              <w:left w:val="single" w:color="000000" w:sz="4" w:space="0"/>
              <w:right w:val="single" w:color="000000" w:sz="4" w:space="0"/>
            </w:tcBorders>
            <w:vAlign w:val="center"/>
          </w:tcPr>
          <w:p w14:paraId="2C570688">
            <w:pPr>
              <w:spacing w:line="264" w:lineRule="auto"/>
              <w:jc w:val="center"/>
              <w:rPr>
                <w:rFonts w:asciiTheme="minorEastAsia" w:hAnsiTheme="minorEastAsia" w:eastAsiaTheme="minorEastAsia"/>
                <w:color w:val="000000"/>
                <w:sz w:val="18"/>
                <w:szCs w:val="18"/>
              </w:rPr>
            </w:pPr>
          </w:p>
        </w:tc>
        <w:tc>
          <w:tcPr>
            <w:tcW w:w="1200" w:type="dxa"/>
            <w:tcBorders>
              <w:top w:val="single" w:color="000000" w:sz="4" w:space="0"/>
              <w:left w:val="single" w:color="000000" w:sz="4" w:space="0"/>
              <w:bottom w:val="single" w:color="000000" w:sz="4" w:space="0"/>
              <w:right w:val="single" w:color="000000" w:sz="4" w:space="0"/>
            </w:tcBorders>
            <w:vAlign w:val="center"/>
          </w:tcPr>
          <w:p w14:paraId="718F19EA">
            <w:pPr>
              <w:spacing w:line="264" w:lineRule="auto"/>
              <w:jc w:val="center"/>
              <w:rPr>
                <w:rFonts w:asciiTheme="minorEastAsia" w:hAnsiTheme="minorEastAsia" w:eastAsiaTheme="minorEastAsia"/>
                <w:color w:val="000000"/>
                <w:sz w:val="18"/>
                <w:szCs w:val="18"/>
                <w:lang w:eastAsia="zh-CN"/>
              </w:rPr>
            </w:pPr>
          </w:p>
        </w:tc>
      </w:tr>
      <w:tr w14:paraId="5AB83012">
        <w:tblPrEx>
          <w:tblCellMar>
            <w:top w:w="15" w:type="dxa"/>
            <w:left w:w="15" w:type="dxa"/>
            <w:bottom w:w="15" w:type="dxa"/>
            <w:right w:w="15" w:type="dxa"/>
          </w:tblCellMar>
        </w:tblPrEx>
        <w:trPr>
          <w:wAfter w:w="0" w:type="auto"/>
          <w:trHeight w:val="429" w:hRule="atLeast"/>
        </w:trPr>
        <w:tc>
          <w:tcPr>
            <w:tcW w:w="1701" w:type="dxa"/>
            <w:vMerge w:val="continue"/>
            <w:tcBorders>
              <w:left w:val="single" w:color="auto" w:sz="4" w:space="0"/>
              <w:right w:val="single" w:color="auto" w:sz="4" w:space="0"/>
            </w:tcBorders>
            <w:shd w:val="clear" w:color="auto" w:fill="auto"/>
            <w:vAlign w:val="center"/>
          </w:tcPr>
          <w:p w14:paraId="6E452759">
            <w:pPr>
              <w:widowControl/>
              <w:autoSpaceDE/>
              <w:autoSpaceDN/>
              <w:spacing w:line="264" w:lineRule="auto"/>
              <w:jc w:val="center"/>
              <w:rPr>
                <w:rFonts w:cs="Arial" w:asciiTheme="minorEastAsia" w:hAnsiTheme="minorEastAsia" w:eastAsiaTheme="minorEastAsia"/>
                <w:sz w:val="18"/>
                <w:szCs w:val="20"/>
                <w:lang w:eastAsia="zh-CN"/>
              </w:rPr>
            </w:pPr>
          </w:p>
        </w:tc>
        <w:tc>
          <w:tcPr>
            <w:tcW w:w="2410" w:type="dxa"/>
            <w:tcBorders>
              <w:top w:val="single" w:color="auto" w:sz="4" w:space="0"/>
              <w:left w:val="single" w:color="auto" w:sz="4" w:space="0"/>
              <w:bottom w:val="single" w:color="auto" w:sz="4" w:space="0"/>
              <w:right w:val="single" w:color="auto" w:sz="4" w:space="0"/>
            </w:tcBorders>
            <w:shd w:val="clear" w:color="auto" w:fill="auto"/>
            <w:vAlign w:val="center"/>
          </w:tcPr>
          <w:p w14:paraId="3D7853C1">
            <w:pPr>
              <w:widowControl/>
              <w:autoSpaceDE/>
              <w:autoSpaceDN/>
              <w:spacing w:line="264" w:lineRule="auto"/>
              <w:jc w:val="center"/>
              <w:rPr>
                <w:rFonts w:hint="default" w:ascii="Arial" w:hAnsi="Arial" w:cs="Arial"/>
                <w:sz w:val="20"/>
                <w:szCs w:val="20"/>
                <w:lang w:val="en-US" w:eastAsia="zh-CN"/>
              </w:rPr>
            </w:pPr>
            <w:r>
              <w:rPr>
                <w:rFonts w:hint="eastAsia" w:ascii="Arial" w:hAnsi="Arial" w:cs="Arial"/>
                <w:sz w:val="20"/>
                <w:szCs w:val="20"/>
                <w:lang w:val="en-US" w:eastAsia="zh-CN"/>
              </w:rPr>
              <w:t>充电桩（含安装、电线等所有费用）</w:t>
            </w:r>
          </w:p>
        </w:tc>
        <w:tc>
          <w:tcPr>
            <w:tcW w:w="854" w:type="dxa"/>
            <w:vMerge w:val="continue"/>
            <w:tcBorders>
              <w:left w:val="single" w:color="auto" w:sz="4" w:space="0"/>
              <w:bottom w:val="single" w:color="auto" w:sz="4" w:space="0"/>
              <w:right w:val="single" w:color="auto" w:sz="4" w:space="0"/>
            </w:tcBorders>
            <w:shd w:val="clear" w:color="auto" w:fill="auto"/>
            <w:vAlign w:val="center"/>
          </w:tcPr>
          <w:p w14:paraId="4EFE8E0D">
            <w:pPr>
              <w:spacing w:line="264" w:lineRule="auto"/>
              <w:jc w:val="center"/>
              <w:rPr>
                <w:rFonts w:ascii="Arial" w:hAnsi="Arial" w:cs="Arial"/>
                <w:sz w:val="20"/>
                <w:szCs w:val="20"/>
              </w:rPr>
            </w:pPr>
          </w:p>
        </w:tc>
        <w:tc>
          <w:tcPr>
            <w:tcW w:w="14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7EE65F">
            <w:pPr>
              <w:spacing w:line="264" w:lineRule="auto"/>
              <w:jc w:val="center"/>
              <w:rPr>
                <w:rFonts w:asciiTheme="minorEastAsia" w:hAnsiTheme="minorEastAsia" w:eastAsiaTheme="minorEastAsia"/>
                <w:color w:val="000000"/>
                <w:sz w:val="18"/>
                <w:szCs w:val="18"/>
              </w:rPr>
            </w:pPr>
          </w:p>
        </w:tc>
        <w:tc>
          <w:tcPr>
            <w:tcW w:w="1350" w:type="dxa"/>
            <w:vMerge w:val="continue"/>
            <w:tcBorders>
              <w:left w:val="single" w:color="000000" w:sz="4" w:space="0"/>
              <w:right w:val="single" w:color="000000" w:sz="4" w:space="0"/>
            </w:tcBorders>
            <w:vAlign w:val="center"/>
          </w:tcPr>
          <w:p w14:paraId="6358E969">
            <w:pPr>
              <w:spacing w:line="264" w:lineRule="auto"/>
              <w:jc w:val="center"/>
              <w:rPr>
                <w:rFonts w:asciiTheme="minorEastAsia" w:hAnsiTheme="minorEastAsia" w:eastAsiaTheme="minorEastAsia"/>
                <w:color w:val="000000"/>
                <w:sz w:val="18"/>
                <w:szCs w:val="18"/>
              </w:rPr>
            </w:pPr>
          </w:p>
        </w:tc>
        <w:tc>
          <w:tcPr>
            <w:tcW w:w="1200" w:type="dxa"/>
            <w:tcBorders>
              <w:top w:val="single" w:color="000000" w:sz="4" w:space="0"/>
              <w:left w:val="single" w:color="000000" w:sz="4" w:space="0"/>
              <w:bottom w:val="single" w:color="000000" w:sz="4" w:space="0"/>
              <w:right w:val="single" w:color="000000" w:sz="4" w:space="0"/>
            </w:tcBorders>
            <w:vAlign w:val="center"/>
          </w:tcPr>
          <w:p w14:paraId="1FAC3F9A">
            <w:pPr>
              <w:spacing w:line="264" w:lineRule="auto"/>
              <w:jc w:val="center"/>
              <w:rPr>
                <w:rFonts w:asciiTheme="minorEastAsia" w:hAnsiTheme="minorEastAsia" w:eastAsiaTheme="minorEastAsia"/>
                <w:color w:val="000000"/>
                <w:sz w:val="18"/>
                <w:szCs w:val="18"/>
                <w:lang w:eastAsia="zh-CN"/>
              </w:rPr>
            </w:pPr>
          </w:p>
        </w:tc>
      </w:tr>
      <w:tr w14:paraId="54FF86C2">
        <w:tblPrEx>
          <w:tblCellMar>
            <w:top w:w="15" w:type="dxa"/>
            <w:left w:w="15" w:type="dxa"/>
            <w:bottom w:w="15" w:type="dxa"/>
            <w:right w:w="15" w:type="dxa"/>
          </w:tblCellMar>
        </w:tblPrEx>
        <w:trPr>
          <w:trHeight w:val="554" w:hRule="atLeast"/>
        </w:trPr>
        <w:tc>
          <w:tcPr>
            <w:tcW w:w="1701" w:type="dxa"/>
            <w:tcBorders>
              <w:top w:val="single" w:color="auto" w:sz="4" w:space="0"/>
              <w:left w:val="single" w:color="auto" w:sz="4" w:space="0"/>
              <w:bottom w:val="single" w:color="auto" w:sz="4" w:space="0"/>
              <w:right w:val="single" w:color="000000" w:sz="4" w:space="0"/>
            </w:tcBorders>
            <w:shd w:val="clear" w:color="auto" w:fill="auto"/>
            <w:vAlign w:val="center"/>
          </w:tcPr>
          <w:p w14:paraId="6FE9EA15">
            <w:pPr>
              <w:spacing w:line="264" w:lineRule="auto"/>
              <w:jc w:val="center"/>
              <w:rPr>
                <w:rFonts w:asciiTheme="minorEastAsia" w:hAnsiTheme="minorEastAsia" w:eastAsiaTheme="minorEastAsia"/>
                <w:color w:val="000000"/>
                <w:sz w:val="24"/>
                <w:szCs w:val="24"/>
              </w:rPr>
            </w:pPr>
            <w:r>
              <w:rPr>
                <w:rFonts w:hint="eastAsia" w:asciiTheme="minorEastAsia" w:hAnsiTheme="minorEastAsia" w:eastAsiaTheme="minorEastAsia"/>
                <w:color w:val="000000"/>
                <w:sz w:val="24"/>
                <w:szCs w:val="24"/>
              </w:rPr>
              <w:t>合同金额合计</w:t>
            </w:r>
          </w:p>
        </w:tc>
        <w:tc>
          <w:tcPr>
            <w:tcW w:w="723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6871ED5">
            <w:pPr>
              <w:spacing w:line="264" w:lineRule="auto"/>
              <w:jc w:val="both"/>
              <w:rPr>
                <w:rFonts w:asciiTheme="minorEastAsia" w:hAnsiTheme="minorEastAsia" w:eastAsiaTheme="minorEastAsia"/>
                <w:b/>
                <w:color w:val="000000"/>
                <w:sz w:val="24"/>
                <w:szCs w:val="24"/>
                <w:lang w:eastAsia="zh-CN"/>
              </w:rPr>
            </w:pPr>
            <w:r>
              <w:rPr>
                <w:rFonts w:hint="eastAsia" w:asciiTheme="minorEastAsia" w:hAnsiTheme="minorEastAsia" w:eastAsiaTheme="minorEastAsia"/>
                <w:b/>
                <w:color w:val="000000"/>
                <w:sz w:val="24"/>
                <w:szCs w:val="24"/>
                <w:lang w:val="en-US" w:eastAsia="zh-CN"/>
              </w:rPr>
              <w:t xml:space="preserve"> </w:t>
            </w:r>
            <w:r>
              <w:rPr>
                <w:rFonts w:hint="eastAsia" w:asciiTheme="minorEastAsia" w:hAnsiTheme="minorEastAsia" w:eastAsiaTheme="minorEastAsia"/>
                <w:b/>
                <w:color w:val="000000"/>
                <w:sz w:val="24"/>
                <w:szCs w:val="24"/>
                <w:lang w:eastAsia="zh-CN"/>
              </w:rPr>
              <w:t xml:space="preserve">（大写） </w:t>
            </w:r>
            <w:r>
              <w:rPr>
                <w:rFonts w:asciiTheme="minorEastAsia" w:hAnsiTheme="minorEastAsia" w:eastAsiaTheme="minorEastAsia"/>
                <w:b/>
                <w:color w:val="000000"/>
                <w:sz w:val="24"/>
                <w:szCs w:val="24"/>
                <w:lang w:eastAsia="zh-CN"/>
              </w:rPr>
              <w:t xml:space="preserve">      </w:t>
            </w:r>
            <w:r>
              <w:rPr>
                <w:rFonts w:hint="eastAsia" w:asciiTheme="minorEastAsia" w:hAnsiTheme="minorEastAsia" w:eastAsiaTheme="minorEastAsia"/>
                <w:b/>
                <w:color w:val="000000"/>
                <w:sz w:val="24"/>
                <w:szCs w:val="24"/>
                <w:lang w:val="en-US" w:eastAsia="zh-CN"/>
              </w:rPr>
              <w:t xml:space="preserve"> </w:t>
            </w:r>
            <w:r>
              <w:rPr>
                <w:rFonts w:hint="eastAsia" w:asciiTheme="minorEastAsia" w:hAnsiTheme="minorEastAsia" w:eastAsiaTheme="minorEastAsia"/>
                <w:b/>
                <w:color w:val="000000"/>
                <w:sz w:val="24"/>
                <w:szCs w:val="24"/>
                <w:lang w:eastAsia="zh-CN"/>
              </w:rPr>
              <w:t>（小写）</w:t>
            </w:r>
          </w:p>
        </w:tc>
      </w:tr>
    </w:tbl>
    <w:p w14:paraId="2FC52453">
      <w:pPr>
        <w:spacing w:line="360" w:lineRule="auto"/>
        <w:ind w:firstLine="480" w:firstLineChars="200"/>
        <w:rPr>
          <w:sz w:val="24"/>
          <w:lang w:eastAsia="zh-CN"/>
        </w:rPr>
      </w:pPr>
      <w:r>
        <w:rPr>
          <w:rFonts w:hint="eastAsia"/>
          <w:sz w:val="24"/>
          <w:szCs w:val="24"/>
          <w:lang w:eastAsia="zh-CN"/>
        </w:rPr>
        <w:t>上述金额为车身含税价格（税率</w:t>
      </w:r>
      <w:r>
        <w:rPr>
          <w:rFonts w:hint="eastAsia"/>
          <w:sz w:val="24"/>
          <w:szCs w:val="24"/>
          <w:u w:val="single"/>
          <w:lang w:eastAsia="zh-CN"/>
        </w:rPr>
        <w:t xml:space="preserve"> </w:t>
      </w:r>
      <w:r>
        <w:rPr>
          <w:rFonts w:hint="eastAsia"/>
          <w:sz w:val="24"/>
          <w:szCs w:val="24"/>
          <w:u w:val="single"/>
          <w:lang w:val="en-US" w:eastAsia="zh-CN"/>
        </w:rPr>
        <w:t xml:space="preserve"> </w:t>
      </w:r>
      <w:r>
        <w:rPr>
          <w:rFonts w:hint="eastAsia"/>
          <w:sz w:val="24"/>
          <w:szCs w:val="24"/>
          <w:u w:val="single"/>
          <w:lang w:eastAsia="zh-CN"/>
        </w:rPr>
        <w:t xml:space="preserve"> </w:t>
      </w:r>
      <w:r>
        <w:rPr>
          <w:rFonts w:hint="eastAsia"/>
          <w:sz w:val="24"/>
          <w:szCs w:val="24"/>
          <w:lang w:eastAsia="zh-CN"/>
        </w:rPr>
        <w:t>%）、车辆购置税、车辆保险、车辆报牌等相关费用，包含了乙方提供本合同约定的产品及相应服务（如有）的全部价格，除非另有约定，甲方不再承担其他费用。</w:t>
      </w:r>
    </w:p>
    <w:p w14:paraId="37D0185D">
      <w:pPr>
        <w:spacing w:before="156" w:beforeLines="50" w:line="360" w:lineRule="auto"/>
        <w:rPr>
          <w:b/>
          <w:bCs/>
          <w:sz w:val="24"/>
          <w:lang w:eastAsia="zh-CN"/>
        </w:rPr>
      </w:pPr>
      <w:r>
        <w:rPr>
          <w:rFonts w:hint="eastAsia"/>
          <w:b/>
          <w:bCs/>
          <w:sz w:val="24"/>
          <w:lang w:eastAsia="zh-CN"/>
        </w:rPr>
        <w:t>第二条 交货</w:t>
      </w:r>
    </w:p>
    <w:p w14:paraId="3F458E10">
      <w:pPr>
        <w:spacing w:line="360" w:lineRule="auto"/>
        <w:ind w:firstLine="439" w:firstLineChars="183"/>
        <w:rPr>
          <w:sz w:val="24"/>
          <w:lang w:eastAsia="zh-CN"/>
        </w:rPr>
      </w:pPr>
      <w:r>
        <w:rPr>
          <w:rFonts w:hint="eastAsia"/>
          <w:sz w:val="24"/>
          <w:lang w:eastAsia="zh-CN"/>
        </w:rPr>
        <w:t>2.1交货方式：</w:t>
      </w:r>
      <w:r>
        <w:rPr>
          <w:rFonts w:hint="eastAsia"/>
          <w:sz w:val="24"/>
          <w:u w:val="single"/>
          <w:lang w:val="en-US" w:eastAsia="zh-CN"/>
        </w:rPr>
        <w:t xml:space="preserve">      </w:t>
      </w:r>
      <w:r>
        <w:rPr>
          <w:rFonts w:hint="eastAsia" w:asciiTheme="majorEastAsia" w:hAnsiTheme="majorEastAsia" w:eastAsiaTheme="majorEastAsia"/>
          <w:sz w:val="24"/>
          <w:u w:val="single"/>
          <w:lang w:eastAsia="zh-CN"/>
        </w:rPr>
        <w:t xml:space="preserve">上门提货 </w:t>
      </w:r>
      <w:r>
        <w:rPr>
          <w:rFonts w:hint="eastAsia" w:asciiTheme="majorEastAsia" w:hAnsiTheme="majorEastAsia" w:eastAsiaTheme="majorEastAsia"/>
          <w:sz w:val="24"/>
          <w:u w:val="single"/>
          <w:lang w:val="en-US" w:eastAsia="zh-CN"/>
        </w:rPr>
        <w:t xml:space="preserve">  </w:t>
      </w:r>
      <w:r>
        <w:rPr>
          <w:rFonts w:asciiTheme="majorEastAsia" w:hAnsiTheme="majorEastAsia" w:eastAsiaTheme="majorEastAsia"/>
          <w:sz w:val="24"/>
          <w:u w:val="single"/>
          <w:lang w:eastAsia="zh-CN"/>
        </w:rPr>
        <w:t xml:space="preserve"> </w:t>
      </w:r>
    </w:p>
    <w:p w14:paraId="596EEC76">
      <w:pPr>
        <w:spacing w:line="360" w:lineRule="auto"/>
        <w:ind w:firstLine="439" w:firstLineChars="183"/>
        <w:rPr>
          <w:sz w:val="24"/>
          <w:lang w:eastAsia="zh-CN"/>
        </w:rPr>
      </w:pPr>
      <w:r>
        <w:rPr>
          <w:rFonts w:hint="eastAsia"/>
          <w:sz w:val="24"/>
          <w:lang w:eastAsia="zh-CN"/>
        </w:rPr>
        <w:t>2.2交货地点：</w:t>
      </w:r>
      <w:r>
        <w:rPr>
          <w:rFonts w:hint="eastAsia"/>
          <w:sz w:val="24"/>
          <w:u w:val="single"/>
          <w:lang w:val="en-US" w:eastAsia="zh-CN"/>
        </w:rPr>
        <w:t xml:space="preserve">              </w:t>
      </w:r>
      <w:r>
        <w:rPr>
          <w:rFonts w:hint="eastAsia"/>
          <w:sz w:val="24"/>
          <w:u w:val="single"/>
          <w:lang w:eastAsia="zh-CN"/>
        </w:rPr>
        <w:t xml:space="preserve"> </w:t>
      </w:r>
      <w:r>
        <w:rPr>
          <w:sz w:val="24"/>
          <w:u w:val="single"/>
          <w:lang w:eastAsia="zh-CN"/>
        </w:rPr>
        <w:t xml:space="preserve">  </w:t>
      </w:r>
      <w:r>
        <w:rPr>
          <w:rFonts w:hint="eastAsia"/>
          <w:sz w:val="24"/>
          <w:u w:val="single"/>
          <w:lang w:eastAsia="zh-CN"/>
        </w:rPr>
        <w:t xml:space="preserve"> </w:t>
      </w:r>
    </w:p>
    <w:p w14:paraId="2BB4973D">
      <w:pPr>
        <w:spacing w:line="288" w:lineRule="auto"/>
        <w:ind w:left="1970" w:leftChars="190" w:hanging="1552" w:hangingChars="647"/>
        <w:rPr>
          <w:sz w:val="24"/>
          <w:lang w:eastAsia="zh-CN"/>
        </w:rPr>
      </w:pPr>
      <w:r>
        <w:rPr>
          <w:rFonts w:hint="eastAsia"/>
          <w:sz w:val="24"/>
          <w:lang w:eastAsia="zh-CN"/>
        </w:rPr>
        <w:t>2.3交货时间：</w:t>
      </w:r>
      <w:r>
        <w:rPr>
          <w:rFonts w:hint="eastAsia" w:asciiTheme="majorEastAsia" w:hAnsiTheme="majorEastAsia" w:eastAsiaTheme="majorEastAsia"/>
          <w:sz w:val="24"/>
          <w:u w:val="single"/>
          <w:lang w:eastAsia="zh-CN"/>
        </w:rPr>
        <w:t>合同签订后，1</w:t>
      </w:r>
      <w:r>
        <w:rPr>
          <w:rFonts w:asciiTheme="majorEastAsia" w:hAnsiTheme="majorEastAsia" w:eastAsiaTheme="majorEastAsia"/>
          <w:sz w:val="24"/>
          <w:u w:val="single"/>
          <w:lang w:eastAsia="zh-CN"/>
        </w:rPr>
        <w:t>5天内交</w:t>
      </w:r>
      <w:r>
        <w:rPr>
          <w:rFonts w:hint="eastAsia" w:asciiTheme="majorEastAsia" w:hAnsiTheme="majorEastAsia" w:eastAsiaTheme="majorEastAsia"/>
          <w:sz w:val="24"/>
          <w:u w:val="single"/>
          <w:lang w:eastAsia="zh-CN"/>
        </w:rPr>
        <w:t>货</w:t>
      </w:r>
      <w:r>
        <w:rPr>
          <w:rFonts w:hint="eastAsia"/>
          <w:sz w:val="24"/>
          <w:u w:val="single"/>
          <w:lang w:eastAsia="zh-CN"/>
        </w:rPr>
        <w:t>。（如甲方要求推迟交货，则乙方应无条件同意并保管好货物）</w:t>
      </w:r>
    </w:p>
    <w:p w14:paraId="2871FB06">
      <w:pPr>
        <w:spacing w:line="360" w:lineRule="auto"/>
        <w:ind w:firstLine="439" w:firstLineChars="183"/>
        <w:rPr>
          <w:sz w:val="24"/>
          <w:lang w:eastAsia="zh-CN"/>
        </w:rPr>
      </w:pPr>
      <w:r>
        <w:rPr>
          <w:rFonts w:hint="eastAsia"/>
          <w:sz w:val="24"/>
          <w:lang w:eastAsia="zh-CN"/>
        </w:rPr>
        <w:t>2.4乙方提供产品安装及调试服务，并承担运输过程中发生的一切费用。在产品交付给甲方之前，产品毁损、灭失等风险均由乙方自行承担。</w:t>
      </w:r>
    </w:p>
    <w:p w14:paraId="53E32201">
      <w:pPr>
        <w:spacing w:before="156" w:beforeLines="50" w:line="360" w:lineRule="auto"/>
        <w:rPr>
          <w:b/>
          <w:bCs/>
          <w:sz w:val="24"/>
          <w:lang w:eastAsia="zh-CN"/>
        </w:rPr>
      </w:pPr>
      <w:r>
        <w:rPr>
          <w:rFonts w:hint="eastAsia"/>
          <w:b/>
          <w:bCs/>
          <w:sz w:val="24"/>
          <w:lang w:eastAsia="zh-CN"/>
        </w:rPr>
        <w:t>第三条 付款方式与条件</w:t>
      </w:r>
    </w:p>
    <w:p w14:paraId="0C06B0DE">
      <w:pPr>
        <w:spacing w:line="360" w:lineRule="auto"/>
        <w:ind w:firstLine="360" w:firstLineChars="150"/>
        <w:rPr>
          <w:sz w:val="24"/>
          <w:szCs w:val="24"/>
          <w:lang w:eastAsia="zh-CN"/>
        </w:rPr>
      </w:pPr>
      <w:r>
        <w:rPr>
          <w:rFonts w:hint="eastAsia"/>
          <w:sz w:val="24"/>
          <w:szCs w:val="24"/>
          <w:lang w:eastAsia="zh-CN"/>
        </w:rPr>
        <w:t>3.1车辆达到乙方仓库，乙方通知甲方验车后，自乙方提交车架号及合格证复印件</w:t>
      </w:r>
      <w:r>
        <w:rPr>
          <w:sz w:val="24"/>
          <w:szCs w:val="24"/>
          <w:lang w:eastAsia="zh-CN"/>
        </w:rPr>
        <w:t>7个工作日内，甲方预支付乙方</w:t>
      </w:r>
      <w:r>
        <w:rPr>
          <w:sz w:val="24"/>
          <w:szCs w:val="24"/>
          <w:u w:val="single"/>
          <w:lang w:eastAsia="zh-CN"/>
        </w:rPr>
        <w:t xml:space="preserve"> </w:t>
      </w:r>
      <w:r>
        <w:rPr>
          <w:rFonts w:hint="eastAsia"/>
          <w:sz w:val="24"/>
          <w:szCs w:val="24"/>
          <w:u w:val="single"/>
          <w:lang w:val="en-US" w:eastAsia="zh-CN"/>
        </w:rPr>
        <w:t xml:space="preserve">  </w:t>
      </w:r>
      <w:r>
        <w:rPr>
          <w:sz w:val="24"/>
          <w:szCs w:val="24"/>
          <w:u w:val="single"/>
          <w:lang w:eastAsia="zh-CN"/>
        </w:rPr>
        <w:t xml:space="preserve"> </w:t>
      </w:r>
      <w:r>
        <w:rPr>
          <w:sz w:val="24"/>
          <w:szCs w:val="24"/>
          <w:lang w:eastAsia="zh-CN"/>
        </w:rPr>
        <w:t>元</w:t>
      </w:r>
      <w:r>
        <w:rPr>
          <w:rFonts w:hint="eastAsia"/>
          <w:sz w:val="24"/>
          <w:szCs w:val="24"/>
          <w:lang w:eastAsia="zh-CN"/>
        </w:rPr>
        <w:t>车</w:t>
      </w:r>
      <w:r>
        <w:rPr>
          <w:sz w:val="24"/>
          <w:szCs w:val="24"/>
          <w:lang w:eastAsia="zh-CN"/>
        </w:rPr>
        <w:t>款</w:t>
      </w:r>
      <w:r>
        <w:rPr>
          <w:rFonts w:hint="eastAsia"/>
          <w:sz w:val="24"/>
          <w:szCs w:val="24"/>
          <w:lang w:eastAsia="zh-CN"/>
        </w:rPr>
        <w:t>。</w:t>
      </w:r>
    </w:p>
    <w:p w14:paraId="6A2307FD">
      <w:pPr>
        <w:spacing w:line="360" w:lineRule="auto"/>
        <w:ind w:firstLine="360" w:firstLineChars="150"/>
        <w:rPr>
          <w:sz w:val="24"/>
          <w:szCs w:val="24"/>
          <w:lang w:eastAsia="zh-CN"/>
        </w:rPr>
      </w:pPr>
      <w:r>
        <w:rPr>
          <w:rFonts w:hint="eastAsia"/>
          <w:sz w:val="24"/>
          <w:szCs w:val="24"/>
          <w:lang w:eastAsia="zh-CN"/>
        </w:rPr>
        <w:t>3.2 办理</w:t>
      </w:r>
      <w:r>
        <w:rPr>
          <w:sz w:val="24"/>
          <w:szCs w:val="24"/>
          <w:lang w:eastAsia="zh-CN"/>
        </w:rPr>
        <w:t>新车上牌前</w:t>
      </w:r>
      <w:r>
        <w:rPr>
          <w:rFonts w:hint="eastAsia"/>
          <w:sz w:val="24"/>
          <w:szCs w:val="24"/>
          <w:lang w:eastAsia="zh-CN"/>
        </w:rPr>
        <w:t>，</w:t>
      </w:r>
      <w:r>
        <w:rPr>
          <w:sz w:val="24"/>
          <w:szCs w:val="24"/>
          <w:lang w:eastAsia="zh-CN"/>
        </w:rPr>
        <w:t>甲方</w:t>
      </w:r>
      <w:r>
        <w:rPr>
          <w:rFonts w:hint="eastAsia"/>
          <w:sz w:val="24"/>
          <w:szCs w:val="24"/>
          <w:lang w:eastAsia="zh-CN"/>
        </w:rPr>
        <w:t>将</w:t>
      </w:r>
      <w:r>
        <w:rPr>
          <w:sz w:val="24"/>
          <w:szCs w:val="24"/>
          <w:lang w:eastAsia="zh-CN"/>
        </w:rPr>
        <w:t>购置税</w:t>
      </w:r>
      <w:r>
        <w:rPr>
          <w:rFonts w:hint="eastAsia"/>
          <w:sz w:val="24"/>
          <w:szCs w:val="24"/>
          <w:u w:val="single"/>
          <w:lang w:eastAsia="zh-CN"/>
        </w:rPr>
        <w:t xml:space="preserve"> </w:t>
      </w:r>
      <w:r>
        <w:rPr>
          <w:rFonts w:hint="eastAsia"/>
          <w:sz w:val="24"/>
          <w:szCs w:val="24"/>
          <w:u w:val="single"/>
          <w:lang w:val="en-US" w:eastAsia="zh-CN"/>
        </w:rPr>
        <w:t xml:space="preserve">   </w:t>
      </w:r>
      <w:r>
        <w:rPr>
          <w:sz w:val="24"/>
          <w:szCs w:val="24"/>
          <w:u w:val="single"/>
          <w:lang w:eastAsia="zh-CN"/>
        </w:rPr>
        <w:t xml:space="preserve"> </w:t>
      </w:r>
      <w:r>
        <w:rPr>
          <w:sz w:val="24"/>
          <w:szCs w:val="24"/>
          <w:lang w:eastAsia="zh-CN"/>
        </w:rPr>
        <w:t>元支付漳浦税务局</w:t>
      </w:r>
      <w:r>
        <w:rPr>
          <w:rFonts w:hint="eastAsia"/>
          <w:sz w:val="24"/>
          <w:szCs w:val="24"/>
          <w:lang w:eastAsia="zh-CN"/>
        </w:rPr>
        <w:t>，</w:t>
      </w:r>
      <w:r>
        <w:rPr>
          <w:sz w:val="24"/>
          <w:szCs w:val="24"/>
          <w:lang w:eastAsia="zh-CN"/>
        </w:rPr>
        <w:t>保险费</w:t>
      </w:r>
      <w:r>
        <w:rPr>
          <w:rFonts w:hint="eastAsia"/>
          <w:sz w:val="24"/>
          <w:szCs w:val="24"/>
          <w:u w:val="single"/>
          <w:lang w:val="en-US" w:eastAsia="zh-CN"/>
        </w:rPr>
        <w:t xml:space="preserve">  </w:t>
      </w:r>
      <w:r>
        <w:rPr>
          <w:sz w:val="24"/>
          <w:szCs w:val="24"/>
          <w:u w:val="single"/>
          <w:lang w:eastAsia="zh-CN"/>
        </w:rPr>
        <w:t xml:space="preserve"> </w:t>
      </w:r>
      <w:r>
        <w:rPr>
          <w:sz w:val="24"/>
          <w:szCs w:val="24"/>
          <w:lang w:eastAsia="zh-CN"/>
        </w:rPr>
        <w:t>元支付保险公司</w:t>
      </w:r>
      <w:r>
        <w:rPr>
          <w:rFonts w:hint="eastAsia"/>
          <w:sz w:val="24"/>
          <w:szCs w:val="24"/>
          <w:lang w:eastAsia="zh-CN"/>
        </w:rPr>
        <w:t>，</w:t>
      </w:r>
      <w:r>
        <w:rPr>
          <w:sz w:val="24"/>
          <w:szCs w:val="24"/>
          <w:lang w:eastAsia="zh-CN"/>
        </w:rPr>
        <w:t>尾款</w:t>
      </w:r>
      <w:r>
        <w:rPr>
          <w:rFonts w:hint="eastAsia"/>
          <w:sz w:val="24"/>
          <w:szCs w:val="24"/>
          <w:u w:val="single"/>
          <w:lang w:val="en-US" w:eastAsia="zh-CN"/>
        </w:rPr>
        <w:t xml:space="preserve">     </w:t>
      </w:r>
      <w:r>
        <w:rPr>
          <w:sz w:val="24"/>
          <w:szCs w:val="24"/>
          <w:u w:val="single"/>
          <w:lang w:eastAsia="zh-CN"/>
        </w:rPr>
        <w:t xml:space="preserve"> </w:t>
      </w:r>
      <w:r>
        <w:rPr>
          <w:sz w:val="24"/>
          <w:szCs w:val="24"/>
          <w:lang w:eastAsia="zh-CN"/>
        </w:rPr>
        <w:t>元支付乙方</w:t>
      </w:r>
      <w:r>
        <w:rPr>
          <w:rFonts w:hint="eastAsia"/>
          <w:sz w:val="24"/>
          <w:szCs w:val="24"/>
          <w:lang w:eastAsia="zh-CN"/>
        </w:rPr>
        <w:t>。</w:t>
      </w:r>
      <w:r>
        <w:rPr>
          <w:sz w:val="24"/>
          <w:szCs w:val="24"/>
          <w:lang w:eastAsia="zh-CN"/>
        </w:rPr>
        <w:t>甲方支付完全部款项后</w:t>
      </w:r>
      <w:r>
        <w:rPr>
          <w:rFonts w:hint="eastAsia"/>
          <w:sz w:val="24"/>
          <w:szCs w:val="24"/>
          <w:lang w:eastAsia="zh-CN"/>
        </w:rPr>
        <w:t>乙方提交全部1</w:t>
      </w:r>
      <w:r>
        <w:rPr>
          <w:sz w:val="24"/>
          <w:szCs w:val="24"/>
          <w:lang w:eastAsia="zh-CN"/>
        </w:rPr>
        <w:t>3</w:t>
      </w:r>
      <w:r>
        <w:rPr>
          <w:rFonts w:hint="eastAsia"/>
          <w:sz w:val="24"/>
          <w:szCs w:val="24"/>
          <w:lang w:eastAsia="zh-CN"/>
        </w:rPr>
        <w:t>%增值税专用发票及完成车辆所有手续（保险、上牌等）</w:t>
      </w:r>
      <w:r>
        <w:rPr>
          <w:sz w:val="24"/>
          <w:szCs w:val="24"/>
          <w:lang w:eastAsia="zh-CN"/>
        </w:rPr>
        <w:t>。</w:t>
      </w:r>
    </w:p>
    <w:p w14:paraId="626ACBBA">
      <w:pPr>
        <w:spacing w:line="360" w:lineRule="auto"/>
        <w:ind w:firstLine="360" w:firstLineChars="150"/>
        <w:rPr>
          <w:sz w:val="24"/>
          <w:szCs w:val="24"/>
          <w:lang w:eastAsia="zh-CN"/>
        </w:rPr>
      </w:pPr>
      <w:r>
        <w:rPr>
          <w:rFonts w:hint="eastAsia"/>
          <w:sz w:val="24"/>
          <w:szCs w:val="24"/>
          <w:lang w:eastAsia="zh-CN"/>
        </w:rPr>
        <w:t>3.</w:t>
      </w:r>
      <w:r>
        <w:rPr>
          <w:rFonts w:hint="eastAsia"/>
          <w:sz w:val="24"/>
          <w:szCs w:val="24"/>
          <w:lang w:val="en-US" w:eastAsia="zh-CN"/>
        </w:rPr>
        <w:t>3</w:t>
      </w:r>
      <w:r>
        <w:rPr>
          <w:rFonts w:hint="eastAsia"/>
          <w:sz w:val="24"/>
          <w:szCs w:val="24"/>
          <w:lang w:eastAsia="zh-CN"/>
        </w:rPr>
        <w:t xml:space="preserve"> 甲方的付款并不限制甲方在随后时间对已开具发票的费用提出争议或对合同中不满意的服务、不符合要求的产品进行索赔的权利。</w:t>
      </w:r>
    </w:p>
    <w:p w14:paraId="6F491368">
      <w:pPr>
        <w:spacing w:line="360" w:lineRule="auto"/>
        <w:ind w:firstLine="360" w:firstLineChars="150"/>
        <w:rPr>
          <w:sz w:val="24"/>
          <w:szCs w:val="24"/>
          <w:lang w:eastAsia="zh-CN"/>
        </w:rPr>
      </w:pPr>
      <w:r>
        <w:rPr>
          <w:rFonts w:hint="eastAsia"/>
          <w:sz w:val="24"/>
          <w:szCs w:val="24"/>
          <w:lang w:eastAsia="zh-CN"/>
        </w:rPr>
        <w:t>3.4甲方有权从应付乙方的款项中抵扣乙方按本合同应支付给甲方的费用，包括但不限于违约金、赔偿金、乙方造成的一切损失、债务。</w:t>
      </w:r>
    </w:p>
    <w:p w14:paraId="7D2E72F2">
      <w:pPr>
        <w:spacing w:before="156" w:beforeLines="50" w:line="360" w:lineRule="auto"/>
        <w:rPr>
          <w:b/>
          <w:bCs/>
          <w:sz w:val="24"/>
          <w:lang w:eastAsia="zh-CN"/>
        </w:rPr>
      </w:pPr>
      <w:r>
        <w:rPr>
          <w:rFonts w:hint="eastAsia"/>
          <w:b/>
          <w:bCs/>
          <w:sz w:val="24"/>
          <w:lang w:eastAsia="zh-CN"/>
        </w:rPr>
        <w:t>第四条 质量要求和技术标准</w:t>
      </w:r>
    </w:p>
    <w:p w14:paraId="54B4386F">
      <w:pPr>
        <w:spacing w:line="360" w:lineRule="auto"/>
        <w:rPr>
          <w:sz w:val="24"/>
          <w:szCs w:val="24"/>
          <w:lang w:eastAsia="zh-CN"/>
        </w:rPr>
      </w:pPr>
      <w:r>
        <w:rPr>
          <w:rFonts w:hint="eastAsia"/>
          <w:sz w:val="24"/>
          <w:lang w:eastAsia="zh-CN"/>
        </w:rPr>
        <w:t xml:space="preserve">   </w:t>
      </w:r>
      <w:r>
        <w:rPr>
          <w:rFonts w:hint="eastAsia"/>
          <w:sz w:val="24"/>
          <w:szCs w:val="24"/>
          <w:lang w:eastAsia="zh-CN"/>
        </w:rPr>
        <w:t xml:space="preserve"> 4.1 乙方所提供的车辆必须是原包装全新（含合格证书）产品，质量必须符合国家标准或行业标准以及原厂出厂标准（以说明书为准），如产品不符合本合同中约定的要求，甲方有权拒绝接受。</w:t>
      </w:r>
    </w:p>
    <w:p w14:paraId="6D9E0AD4">
      <w:pPr>
        <w:spacing w:line="360" w:lineRule="auto"/>
        <w:ind w:firstLine="360" w:firstLineChars="150"/>
        <w:rPr>
          <w:sz w:val="24"/>
          <w:szCs w:val="24"/>
          <w:lang w:eastAsia="zh-CN"/>
        </w:rPr>
      </w:pPr>
      <w:r>
        <w:rPr>
          <w:rFonts w:hint="eastAsia"/>
          <w:sz w:val="24"/>
          <w:szCs w:val="24"/>
          <w:lang w:eastAsia="zh-CN"/>
        </w:rPr>
        <w:t>4.2 乙方应保证车辆是全新、未使用过的合格正品，并完全符合合同规定的规格和性能的要求。乙方应保证其提供的车辆在正常使用和保养条件下，在其使用寿命内具有良好的性能。车辆质保按国家行业规定执行，车辆保修以生产厂家规定为准。</w:t>
      </w:r>
    </w:p>
    <w:p w14:paraId="16CBF329">
      <w:pPr>
        <w:spacing w:line="360" w:lineRule="auto"/>
        <w:ind w:firstLine="360" w:firstLineChars="150"/>
        <w:rPr>
          <w:sz w:val="24"/>
          <w:szCs w:val="24"/>
          <w:lang w:eastAsia="zh-CN"/>
        </w:rPr>
      </w:pPr>
      <w:r>
        <w:rPr>
          <w:rFonts w:hint="eastAsia"/>
          <w:sz w:val="24"/>
          <w:szCs w:val="24"/>
          <w:lang w:eastAsia="zh-CN"/>
        </w:rPr>
        <w:t xml:space="preserve"> 4.3 除合同另有规定外，乙方提供的车辆均应按行业要求的标准采取保护措施进行包装。该包装应适应于远距离运输、防潮、防震、防锈和防野蛮装卸，以确保车辆安全无损运抵指定地点。由于包装不善所引起的车辆损失均由乙方承担。</w:t>
      </w:r>
    </w:p>
    <w:p w14:paraId="46160B60">
      <w:pPr>
        <w:spacing w:line="360" w:lineRule="auto"/>
        <w:rPr>
          <w:sz w:val="24"/>
          <w:lang w:eastAsia="zh-CN"/>
        </w:rPr>
      </w:pPr>
      <w:r>
        <w:rPr>
          <w:rFonts w:hint="eastAsia"/>
          <w:sz w:val="24"/>
          <w:szCs w:val="24"/>
          <w:lang w:eastAsia="zh-CN"/>
        </w:rPr>
        <w:t xml:space="preserve">    4.4 乙方不按本合同约定交付车辆所产生的任何费用由乙方自己承担。</w:t>
      </w:r>
    </w:p>
    <w:p w14:paraId="133D721F">
      <w:pPr>
        <w:spacing w:line="360" w:lineRule="auto"/>
        <w:rPr>
          <w:b/>
          <w:bCs/>
          <w:sz w:val="24"/>
          <w:lang w:eastAsia="zh-CN"/>
        </w:rPr>
      </w:pPr>
      <w:r>
        <w:rPr>
          <w:rFonts w:hint="eastAsia"/>
          <w:b/>
          <w:bCs/>
          <w:sz w:val="24"/>
          <w:lang w:eastAsia="zh-CN"/>
        </w:rPr>
        <w:t>第五条 安装调试、技术服务、人员培训及技术资料</w:t>
      </w:r>
    </w:p>
    <w:p w14:paraId="4DBCFD49">
      <w:pPr>
        <w:spacing w:line="360" w:lineRule="auto"/>
        <w:ind w:firstLine="480" w:firstLineChars="200"/>
        <w:rPr>
          <w:sz w:val="24"/>
          <w:lang w:eastAsia="zh-CN"/>
        </w:rPr>
      </w:pPr>
      <w:r>
        <w:rPr>
          <w:rFonts w:hint="eastAsia"/>
          <w:sz w:val="24"/>
          <w:lang w:eastAsia="zh-CN"/>
        </w:rPr>
        <w:t>5.1乙方为甲方提供下列服务（具体以在□内打“√”为准）</w:t>
      </w:r>
    </w:p>
    <w:p w14:paraId="7DA05836">
      <w:pPr>
        <w:spacing w:line="360" w:lineRule="auto"/>
        <w:ind w:firstLine="480" w:firstLineChars="200"/>
        <w:rPr>
          <w:sz w:val="24"/>
          <w:u w:val="single"/>
          <w:lang w:eastAsia="zh-CN"/>
        </w:rPr>
      </w:pPr>
      <w:sdt>
        <w:sdtPr>
          <w:rPr>
            <w:rFonts w:hint="eastAsia"/>
            <w:sz w:val="24"/>
          </w:rPr>
          <w:id w:val="-22404436"/>
        </w:sdtPr>
        <w:sdtEndPr>
          <w:rPr>
            <w:rFonts w:hint="eastAsia"/>
            <w:sz w:val="24"/>
          </w:rPr>
        </w:sdtEndPr>
        <w:sdtContent>
          <w:r>
            <w:rPr>
              <w:rFonts w:hint="eastAsia" w:ascii="MS Gothic" w:hAnsi="MS Gothic" w:eastAsia="MS Gothic"/>
              <w:sz w:val="24"/>
              <w:lang w:eastAsia="zh-CN"/>
            </w:rPr>
            <w:t>☐</w:t>
          </w:r>
        </w:sdtContent>
      </w:sdt>
      <w:r>
        <w:rPr>
          <w:rFonts w:hint="eastAsia"/>
          <w:sz w:val="24"/>
          <w:lang w:eastAsia="zh-CN"/>
        </w:rPr>
        <w:t>安装调试：乙方应在产品到货后</w:t>
      </w:r>
      <w:r>
        <w:rPr>
          <w:rFonts w:hint="eastAsia"/>
          <w:sz w:val="24"/>
          <w:u w:val="single"/>
          <w:lang w:eastAsia="zh-CN"/>
        </w:rPr>
        <w:t xml:space="preserve">  </w:t>
      </w:r>
      <w:r>
        <w:rPr>
          <w:rFonts w:hint="eastAsia"/>
          <w:sz w:val="24"/>
          <w:lang w:eastAsia="zh-CN"/>
        </w:rPr>
        <w:t>日内安装完毕，并提请甲方进行调试验收；</w:t>
      </w:r>
      <w:r>
        <w:rPr>
          <w:sz w:val="24"/>
          <w:u w:val="single"/>
          <w:lang w:eastAsia="zh-CN"/>
        </w:rPr>
        <w:t xml:space="preserve">    </w:t>
      </w:r>
    </w:p>
    <w:p w14:paraId="67DD09EC">
      <w:pPr>
        <w:spacing w:line="360" w:lineRule="auto"/>
        <w:ind w:firstLine="480" w:firstLineChars="200"/>
        <w:rPr>
          <w:sz w:val="24"/>
          <w:u w:val="single"/>
          <w:lang w:eastAsia="zh-CN"/>
        </w:rPr>
      </w:pPr>
      <w:sdt>
        <w:sdtPr>
          <w:rPr>
            <w:rFonts w:ascii="Arial" w:hAnsi="Arial" w:cs="Arial"/>
            <w:sz w:val="24"/>
          </w:rPr>
          <w:id w:val="-1252738078"/>
        </w:sdtPr>
        <w:sdtEndPr>
          <w:rPr>
            <w:rFonts w:hint="eastAsia" w:ascii="Arial" w:hAnsi="Arial" w:cs="Arial"/>
            <w:sz w:val="24"/>
          </w:rPr>
        </w:sdtEndPr>
        <w:sdtContent>
          <w:sdt>
            <w:sdtPr>
              <w:rPr>
                <w:rFonts w:hint="eastAsia"/>
                <w:sz w:val="24"/>
              </w:rPr>
              <w:id w:val="352306080"/>
            </w:sdtPr>
            <w:sdtEndPr>
              <w:rPr>
                <w:rFonts w:hint="eastAsia"/>
                <w:sz w:val="24"/>
              </w:rPr>
            </w:sdtEndPr>
            <w:sdtContent>
              <w:r>
                <w:rPr>
                  <w:rFonts w:hint="eastAsia" w:ascii="MS Gothic" w:hAnsi="MS Gothic" w:eastAsia="MS Gothic"/>
                  <w:sz w:val="24"/>
                  <w:lang w:eastAsia="zh-CN"/>
                </w:rPr>
                <w:t>☐</w:t>
              </w:r>
            </w:sdtContent>
          </w:sdt>
        </w:sdtContent>
      </w:sdt>
      <w:sdt>
        <w:sdtPr>
          <w:rPr>
            <w:rFonts w:hint="eastAsia"/>
            <w:sz w:val="24"/>
          </w:rPr>
          <w:id w:val="-1019545688"/>
        </w:sdtPr>
        <w:sdtEndPr>
          <w:rPr>
            <w:rFonts w:hint="eastAsia"/>
            <w:sz w:val="24"/>
          </w:rPr>
        </w:sdtEndPr>
        <w:sdtContent/>
      </w:sdt>
      <w:r>
        <w:rPr>
          <w:rFonts w:hint="eastAsia"/>
          <w:sz w:val="24"/>
          <w:lang w:eastAsia="zh-CN"/>
        </w:rPr>
        <w:t>技术服务：</w:t>
      </w:r>
      <w:r>
        <w:rPr>
          <w:sz w:val="24"/>
          <w:u w:val="single"/>
          <w:lang w:eastAsia="zh-CN"/>
        </w:rPr>
        <w:t xml:space="preserve">       </w:t>
      </w:r>
      <w:r>
        <w:rPr>
          <w:rFonts w:hint="eastAsia"/>
          <w:sz w:val="24"/>
          <w:u w:val="single"/>
          <w:lang w:eastAsia="zh-CN"/>
        </w:rPr>
        <w:t xml:space="preserve"> </w:t>
      </w:r>
      <w:r>
        <w:rPr>
          <w:sz w:val="24"/>
          <w:u w:val="single"/>
          <w:lang w:eastAsia="zh-CN"/>
        </w:rPr>
        <w:t xml:space="preserve">     </w:t>
      </w:r>
    </w:p>
    <w:p w14:paraId="467A3A81">
      <w:pPr>
        <w:spacing w:line="360" w:lineRule="auto"/>
        <w:ind w:firstLine="480" w:firstLineChars="200"/>
        <w:rPr>
          <w:sz w:val="24"/>
          <w:u w:val="single"/>
          <w:lang w:eastAsia="zh-CN"/>
        </w:rPr>
      </w:pPr>
      <w:sdt>
        <w:sdtPr>
          <w:rPr>
            <w:rFonts w:hint="eastAsia"/>
            <w:sz w:val="24"/>
          </w:rPr>
          <w:id w:val="1427537698"/>
        </w:sdtPr>
        <w:sdtEndPr>
          <w:rPr>
            <w:rFonts w:hint="eastAsia"/>
            <w:sz w:val="24"/>
          </w:rPr>
        </w:sdtEndPr>
        <w:sdtContent>
          <w:sdt>
            <w:sdtPr>
              <w:rPr>
                <w:rFonts w:ascii="Arial" w:hAnsi="Arial" w:cs="Arial"/>
                <w:sz w:val="24"/>
              </w:rPr>
              <w:id w:val="-2068487022"/>
            </w:sdtPr>
            <w:sdtEndPr>
              <w:rPr>
                <w:rFonts w:hint="eastAsia" w:ascii="Arial" w:hAnsi="Arial" w:cs="Arial"/>
                <w:sz w:val="24"/>
              </w:rPr>
            </w:sdtEndPr>
            <w:sdtContent>
              <w:sdt>
                <w:sdtPr>
                  <w:rPr>
                    <w:rFonts w:hint="eastAsia"/>
                    <w:sz w:val="24"/>
                  </w:rPr>
                  <w:id w:val="1125812570"/>
                </w:sdtPr>
                <w:sdtEndPr>
                  <w:rPr>
                    <w:rFonts w:hint="eastAsia"/>
                    <w:sz w:val="24"/>
                  </w:rPr>
                </w:sdtEndPr>
                <w:sdtContent>
                  <w:r>
                    <w:rPr>
                      <w:rFonts w:hint="eastAsia" w:ascii="MS Gothic" w:hAnsi="MS Gothic" w:eastAsia="MS Gothic"/>
                      <w:sz w:val="24"/>
                      <w:lang w:eastAsia="zh-CN"/>
                    </w:rPr>
                    <w:t>☐</w:t>
                  </w:r>
                </w:sdtContent>
              </w:sdt>
            </w:sdtContent>
          </w:sdt>
        </w:sdtContent>
      </w:sdt>
      <w:r>
        <w:rPr>
          <w:rFonts w:hint="eastAsia"/>
          <w:sz w:val="24"/>
          <w:lang w:eastAsia="zh-CN"/>
        </w:rPr>
        <w:t>人员培训：</w:t>
      </w:r>
      <w:r>
        <w:rPr>
          <w:sz w:val="24"/>
          <w:u w:val="single"/>
          <w:lang w:eastAsia="zh-CN"/>
        </w:rPr>
        <w:t xml:space="preserve">       </w:t>
      </w:r>
      <w:r>
        <w:rPr>
          <w:rFonts w:hint="eastAsia"/>
          <w:sz w:val="24"/>
          <w:u w:val="single"/>
          <w:lang w:eastAsia="zh-CN"/>
        </w:rPr>
        <w:t xml:space="preserve"> </w:t>
      </w:r>
      <w:r>
        <w:rPr>
          <w:sz w:val="24"/>
          <w:u w:val="single"/>
          <w:lang w:eastAsia="zh-CN"/>
        </w:rPr>
        <w:t xml:space="preserve">      </w:t>
      </w:r>
    </w:p>
    <w:p w14:paraId="0A5859DF">
      <w:pPr>
        <w:spacing w:line="288" w:lineRule="auto"/>
        <w:ind w:left="515" w:leftChars="234" w:firstLine="3"/>
        <w:rPr>
          <w:sz w:val="24"/>
          <w:u w:val="single"/>
          <w:lang w:eastAsia="zh-CN"/>
        </w:rPr>
      </w:pPr>
      <w:sdt>
        <w:sdtPr>
          <w:rPr>
            <w:rFonts w:ascii="Arial" w:hAnsi="Arial" w:cs="Arial"/>
            <w:sz w:val="24"/>
          </w:rPr>
          <w:id w:val="-2051133063"/>
        </w:sdtPr>
        <w:sdtEndPr>
          <w:rPr>
            <w:rFonts w:hint="eastAsia" w:ascii="Arial" w:hAnsi="Arial" w:cs="Arial"/>
            <w:sz w:val="24"/>
          </w:rPr>
        </w:sdtEndPr>
        <w:sdtContent>
          <w:r>
            <w:rPr>
              <w:rFonts w:ascii="Arial" w:hAnsi="Arial" w:cs="Arial"/>
              <w:sz w:val="24"/>
            </w:rPr>
            <w:sym w:font="Wingdings" w:char="00FE"/>
          </w:r>
        </w:sdtContent>
      </w:sdt>
      <w:r>
        <w:rPr>
          <w:rFonts w:hint="eastAsia"/>
          <w:sz w:val="24"/>
          <w:lang w:eastAsia="zh-CN"/>
        </w:rPr>
        <w:t>技术资料：</w:t>
      </w:r>
      <w:r>
        <w:rPr>
          <w:sz w:val="24"/>
          <w:u w:val="single"/>
          <w:lang w:eastAsia="zh-CN"/>
        </w:rPr>
        <w:t xml:space="preserve"> </w:t>
      </w:r>
      <w:r>
        <w:rPr>
          <w:rFonts w:hint="eastAsia"/>
          <w:sz w:val="24"/>
          <w:u w:val="single"/>
          <w:lang w:eastAsia="zh-CN"/>
        </w:rPr>
        <w:t xml:space="preserve">说明书、出厂合格证等。 </w:t>
      </w:r>
    </w:p>
    <w:p w14:paraId="7905961F">
      <w:pPr>
        <w:spacing w:line="360" w:lineRule="auto"/>
        <w:rPr>
          <w:sz w:val="24"/>
          <w:lang w:eastAsia="zh-CN"/>
        </w:rPr>
      </w:pPr>
      <w:r>
        <w:rPr>
          <w:rFonts w:hint="eastAsia"/>
          <w:sz w:val="24"/>
          <w:lang w:eastAsia="zh-CN"/>
        </w:rPr>
        <w:t xml:space="preserve">    5.2除第5.1款约定外，乙方还应根据甲方要求为甲方工作人员以及使用人员进行必要的现场免费技术培训，使甲方人员及使用人员能独立使用该产品，完成日常操作。</w:t>
      </w:r>
    </w:p>
    <w:p w14:paraId="44981826">
      <w:pPr>
        <w:spacing w:before="156" w:beforeLines="50" w:line="360" w:lineRule="auto"/>
        <w:rPr>
          <w:b/>
          <w:bCs/>
          <w:sz w:val="24"/>
          <w:lang w:eastAsia="zh-CN"/>
        </w:rPr>
      </w:pPr>
      <w:r>
        <w:rPr>
          <w:rFonts w:hint="eastAsia"/>
          <w:b/>
          <w:bCs/>
          <w:sz w:val="24"/>
          <w:lang w:eastAsia="zh-CN"/>
        </w:rPr>
        <w:t>第六条 验收</w:t>
      </w:r>
    </w:p>
    <w:p w14:paraId="30C4E905">
      <w:pPr>
        <w:spacing w:line="360" w:lineRule="auto"/>
        <w:rPr>
          <w:sz w:val="24"/>
          <w:lang w:eastAsia="zh-CN"/>
        </w:rPr>
      </w:pPr>
      <w:r>
        <w:rPr>
          <w:rFonts w:hint="eastAsia"/>
          <w:sz w:val="24"/>
          <w:lang w:eastAsia="zh-CN"/>
        </w:rPr>
        <w:t xml:space="preserve">    6.1货物的货到验收包括：型号、规格、数量、外观质量、及货物包装是否完好。</w:t>
      </w:r>
    </w:p>
    <w:p w14:paraId="4F0D3C39">
      <w:pPr>
        <w:spacing w:line="360" w:lineRule="auto"/>
        <w:rPr>
          <w:sz w:val="24"/>
          <w:lang w:eastAsia="zh-CN"/>
        </w:rPr>
      </w:pPr>
      <w:r>
        <w:rPr>
          <w:rFonts w:hint="eastAsia"/>
          <w:sz w:val="24"/>
          <w:lang w:eastAsia="zh-CN"/>
        </w:rPr>
        <w:t xml:space="preserve">    6.2乙方对一次开箱不合格（产品有质量故障）的产品予以换新，承担一切与之有关的费用。</w:t>
      </w:r>
    </w:p>
    <w:p w14:paraId="6BE11067">
      <w:pPr>
        <w:spacing w:line="360" w:lineRule="auto"/>
        <w:rPr>
          <w:sz w:val="24"/>
          <w:lang w:eastAsia="zh-CN"/>
        </w:rPr>
      </w:pPr>
      <w:r>
        <w:rPr>
          <w:rFonts w:hint="eastAsia"/>
          <w:sz w:val="24"/>
          <w:lang w:eastAsia="zh-CN"/>
        </w:rPr>
        <w:t xml:space="preserve">    6.3乙方应将所提供货物的装箱清单、用户手册、原厂保修卡、随机资料及配件、随机工具等交付给甲方；乙方不能完整交付货物及本款规定的单证和工具的，视为未按合同约定交货，乙方负责补齐，因此导致逾期交付的，由乙方承担相关的违约责任。</w:t>
      </w:r>
    </w:p>
    <w:p w14:paraId="63DFC83D">
      <w:pPr>
        <w:spacing w:line="360" w:lineRule="auto"/>
        <w:ind w:firstLine="480" w:firstLineChars="200"/>
        <w:rPr>
          <w:bCs/>
          <w:sz w:val="24"/>
          <w:lang w:eastAsia="zh-CN"/>
        </w:rPr>
      </w:pPr>
      <w:r>
        <w:rPr>
          <w:rFonts w:hint="eastAsia"/>
          <w:sz w:val="24"/>
          <w:lang w:eastAsia="zh-CN"/>
        </w:rPr>
        <w:t>6.4对于安装质量，乙方保证标准时、正确安装好设备，保证设备良好运行。产品调试验收的标准：按行业通行标准、厂方出厂标准</w:t>
      </w:r>
      <w:r>
        <w:rPr>
          <w:rFonts w:hint="eastAsia"/>
          <w:bCs/>
          <w:sz w:val="24"/>
          <w:lang w:eastAsia="zh-CN"/>
        </w:rPr>
        <w:t>；两者要求不一致的，适用对产品更为严格的标准。</w:t>
      </w:r>
    </w:p>
    <w:p w14:paraId="0B4815C8">
      <w:pPr>
        <w:spacing w:line="360" w:lineRule="auto"/>
        <w:ind w:firstLine="480" w:firstLineChars="200"/>
        <w:rPr>
          <w:sz w:val="24"/>
          <w:lang w:eastAsia="zh-CN"/>
        </w:rPr>
      </w:pPr>
      <w:r>
        <w:rPr>
          <w:rFonts w:hint="eastAsia"/>
          <w:sz w:val="24"/>
          <w:lang w:eastAsia="zh-CN"/>
        </w:rPr>
        <w:t>6.5调试验收结果经甲方确认后，双方代表必须按规定的验收交接单上的项目对照本合同填好验收结果并签名盖章。</w:t>
      </w:r>
    </w:p>
    <w:p w14:paraId="56E3D22D">
      <w:pPr>
        <w:spacing w:line="360" w:lineRule="auto"/>
        <w:ind w:firstLine="480" w:firstLineChars="200"/>
        <w:rPr>
          <w:sz w:val="24"/>
          <w:lang w:eastAsia="zh-CN"/>
        </w:rPr>
      </w:pPr>
      <w:r>
        <w:rPr>
          <w:rFonts w:hint="eastAsia"/>
          <w:sz w:val="24"/>
          <w:lang w:eastAsia="zh-CN"/>
        </w:rPr>
        <w:t>6.6 产品无需安装调试的，到货开箱验收合格视为产品验收合格；产品需安装调试的，调试验收合格视为产品验收合格。但无论采取何种验收方式，均不免除乙方按照本合同约定应承担的质量保证责任。</w:t>
      </w:r>
    </w:p>
    <w:p w14:paraId="46C59353">
      <w:pPr>
        <w:spacing w:before="156" w:beforeLines="50" w:line="360" w:lineRule="auto"/>
        <w:rPr>
          <w:b/>
          <w:bCs/>
          <w:sz w:val="24"/>
          <w:lang w:eastAsia="zh-CN"/>
        </w:rPr>
      </w:pPr>
      <w:r>
        <w:rPr>
          <w:rFonts w:hint="eastAsia"/>
          <w:b/>
          <w:bCs/>
          <w:sz w:val="24"/>
          <w:lang w:eastAsia="zh-CN"/>
        </w:rPr>
        <w:t>第七条 质量保证</w:t>
      </w:r>
    </w:p>
    <w:p w14:paraId="7EAC8E2C">
      <w:pPr>
        <w:spacing w:line="360" w:lineRule="auto"/>
        <w:rPr>
          <w:sz w:val="24"/>
          <w:lang w:eastAsia="zh-CN"/>
        </w:rPr>
      </w:pPr>
      <w:r>
        <w:rPr>
          <w:rFonts w:hint="eastAsia"/>
          <w:sz w:val="24"/>
          <w:lang w:eastAsia="zh-CN"/>
        </w:rPr>
        <w:t xml:space="preserve">   7.1质量保证期：</w:t>
      </w:r>
      <w:r>
        <w:rPr>
          <w:sz w:val="24"/>
          <w:lang w:eastAsia="zh-CN"/>
        </w:rPr>
        <w:t>全部货物到</w:t>
      </w:r>
      <w:r>
        <w:rPr>
          <w:rFonts w:hint="eastAsia"/>
          <w:sz w:val="24"/>
          <w:lang w:eastAsia="zh-CN"/>
        </w:rPr>
        <w:t>甲方</w:t>
      </w:r>
      <w:r>
        <w:rPr>
          <w:sz w:val="24"/>
          <w:lang w:eastAsia="zh-CN"/>
        </w:rPr>
        <w:t>现场且</w:t>
      </w:r>
      <w:r>
        <w:rPr>
          <w:rFonts w:hint="eastAsia"/>
          <w:sz w:val="24"/>
          <w:lang w:eastAsia="zh-CN"/>
        </w:rPr>
        <w:t>经甲方</w:t>
      </w:r>
      <w:r>
        <w:rPr>
          <w:sz w:val="24"/>
          <w:lang w:eastAsia="zh-CN"/>
        </w:rPr>
        <w:t>验收合格后</w:t>
      </w:r>
      <w:r>
        <w:rPr>
          <w:rFonts w:hint="eastAsia"/>
          <w:sz w:val="24"/>
          <w:lang w:eastAsia="zh-CN"/>
        </w:rPr>
        <w:t xml:space="preserve">12个月。  </w:t>
      </w:r>
    </w:p>
    <w:p w14:paraId="3832E2A6">
      <w:pPr>
        <w:spacing w:line="360" w:lineRule="auto"/>
        <w:ind w:firstLine="240" w:firstLineChars="100"/>
        <w:rPr>
          <w:sz w:val="24"/>
          <w:lang w:eastAsia="zh-CN"/>
        </w:rPr>
      </w:pPr>
      <w:r>
        <w:rPr>
          <w:rFonts w:hint="eastAsia"/>
          <w:sz w:val="24"/>
          <w:lang w:eastAsia="zh-CN"/>
        </w:rPr>
        <w:t xml:space="preserve"> 7.2质量保证期内，产品因自身原因出现故障、损坏或性能等不满足要求等时，乙方在应在48小时或者甲方另行指定的时间内无偿修复或更换。若乙方未按照甲方通知进行修复、更换，甲方可自行或另行委托第三方修复或更换，产生的一切费用由乙方承担，其中包括但不限于对产品整改所需的相关的一切修理、安装、更换费用、设备费用、运费及保险费等。</w:t>
      </w:r>
    </w:p>
    <w:p w14:paraId="1136EDD0">
      <w:pPr>
        <w:spacing w:line="360" w:lineRule="auto"/>
        <w:ind w:firstLine="240" w:firstLineChars="100"/>
        <w:rPr>
          <w:sz w:val="24"/>
          <w:lang w:eastAsia="zh-CN"/>
        </w:rPr>
      </w:pPr>
      <w:r>
        <w:rPr>
          <w:rFonts w:hint="eastAsia"/>
          <w:sz w:val="24"/>
          <w:lang w:eastAsia="zh-CN"/>
        </w:rPr>
        <w:t xml:space="preserve"> 7.3</w:t>
      </w:r>
      <w:r>
        <w:rPr>
          <w:sz w:val="24"/>
          <w:lang w:eastAsia="zh-CN"/>
        </w:rPr>
        <w:t>在产品质量保证期内，如因产品质量问题给</w:t>
      </w:r>
      <w:r>
        <w:rPr>
          <w:rFonts w:hint="eastAsia"/>
          <w:sz w:val="24"/>
          <w:lang w:eastAsia="zh-CN"/>
        </w:rPr>
        <w:t>甲方</w:t>
      </w:r>
      <w:r>
        <w:rPr>
          <w:sz w:val="24"/>
          <w:lang w:eastAsia="zh-CN"/>
        </w:rPr>
        <w:t>造成损失的，</w:t>
      </w:r>
      <w:r>
        <w:rPr>
          <w:rFonts w:hint="eastAsia"/>
          <w:sz w:val="24"/>
          <w:lang w:eastAsia="zh-CN"/>
        </w:rPr>
        <w:t>乙方</w:t>
      </w:r>
      <w:r>
        <w:rPr>
          <w:sz w:val="24"/>
          <w:lang w:eastAsia="zh-CN"/>
        </w:rPr>
        <w:t>还应赔偿</w:t>
      </w:r>
      <w:r>
        <w:rPr>
          <w:rFonts w:hint="eastAsia"/>
          <w:sz w:val="24"/>
          <w:lang w:eastAsia="zh-CN"/>
        </w:rPr>
        <w:t>甲方由此</w:t>
      </w:r>
      <w:r>
        <w:rPr>
          <w:sz w:val="24"/>
          <w:lang w:eastAsia="zh-CN"/>
        </w:rPr>
        <w:t>遭受的损失</w:t>
      </w:r>
      <w:r>
        <w:rPr>
          <w:rFonts w:hint="eastAsia"/>
          <w:sz w:val="24"/>
          <w:lang w:eastAsia="zh-CN"/>
        </w:rPr>
        <w:t>及相关费用</w:t>
      </w:r>
      <w:r>
        <w:rPr>
          <w:sz w:val="24"/>
          <w:lang w:eastAsia="zh-CN"/>
        </w:rPr>
        <w:t>。</w:t>
      </w:r>
    </w:p>
    <w:p w14:paraId="5427D50E">
      <w:pPr>
        <w:spacing w:line="360" w:lineRule="auto"/>
        <w:rPr>
          <w:sz w:val="24"/>
          <w:lang w:eastAsia="zh-CN"/>
        </w:rPr>
      </w:pPr>
      <w:r>
        <w:rPr>
          <w:rFonts w:hint="eastAsia"/>
          <w:sz w:val="24"/>
          <w:lang w:eastAsia="zh-CN"/>
        </w:rPr>
        <w:t xml:space="preserve">   7.4质量保证期的顺延：</w:t>
      </w:r>
      <w:r>
        <w:rPr>
          <w:sz w:val="24"/>
          <w:lang w:eastAsia="zh-CN"/>
        </w:rPr>
        <w:t>在质量保证期内，</w:t>
      </w:r>
      <w:r>
        <w:rPr>
          <w:rFonts w:hint="eastAsia"/>
          <w:sz w:val="24"/>
          <w:lang w:eastAsia="zh-CN"/>
        </w:rPr>
        <w:t>因需要修理有缺陷的设备，而使合同设备停运或推迟安装时，则保证期应按实际修理所延误的时间做相应的延长。非因甲方原因</w:t>
      </w:r>
      <w:r>
        <w:rPr>
          <w:sz w:val="24"/>
          <w:lang w:eastAsia="zh-CN"/>
        </w:rPr>
        <w:t>导致全部货物或零部件更换时，则所更换部件/货物的质量保证期为自更换并验收合格之日起重新计算。</w:t>
      </w:r>
    </w:p>
    <w:p w14:paraId="015316F4">
      <w:pPr>
        <w:spacing w:line="360" w:lineRule="auto"/>
        <w:ind w:firstLine="360" w:firstLineChars="150"/>
        <w:rPr>
          <w:sz w:val="24"/>
          <w:lang w:eastAsia="zh-CN"/>
        </w:rPr>
      </w:pPr>
      <w:r>
        <w:rPr>
          <w:rFonts w:hint="eastAsia"/>
          <w:sz w:val="24"/>
          <w:lang w:eastAsia="zh-CN"/>
        </w:rPr>
        <w:t>7.5产品质量缺陷责任：</w:t>
      </w:r>
      <w:r>
        <w:rPr>
          <w:sz w:val="24"/>
          <w:lang w:eastAsia="zh-CN"/>
        </w:rPr>
        <w:t>在质量保证期过后</w:t>
      </w:r>
      <w:r>
        <w:rPr>
          <w:rFonts w:hint="eastAsia"/>
          <w:sz w:val="24"/>
          <w:lang w:eastAsia="zh-CN"/>
        </w:rPr>
        <w:t>甲方</w:t>
      </w:r>
      <w:r>
        <w:rPr>
          <w:sz w:val="24"/>
          <w:lang w:eastAsia="zh-CN"/>
        </w:rPr>
        <w:t>发现的比如材质错误等原则性</w:t>
      </w:r>
      <w:r>
        <w:rPr>
          <w:rFonts w:hint="eastAsia"/>
          <w:sz w:val="24"/>
          <w:lang w:eastAsia="zh-CN"/>
        </w:rPr>
        <w:t>产品质量缺陷</w:t>
      </w:r>
      <w:r>
        <w:rPr>
          <w:sz w:val="24"/>
          <w:lang w:eastAsia="zh-CN"/>
        </w:rPr>
        <w:t>问题，仍属于</w:t>
      </w:r>
      <w:r>
        <w:rPr>
          <w:rFonts w:hint="eastAsia"/>
          <w:sz w:val="24"/>
          <w:lang w:eastAsia="zh-CN"/>
        </w:rPr>
        <w:t>乙方</w:t>
      </w:r>
      <w:r>
        <w:rPr>
          <w:sz w:val="24"/>
          <w:lang w:eastAsia="zh-CN"/>
        </w:rPr>
        <w:t>的</w:t>
      </w:r>
      <w:r>
        <w:rPr>
          <w:rFonts w:hint="eastAsia"/>
          <w:sz w:val="24"/>
          <w:lang w:eastAsia="zh-CN"/>
        </w:rPr>
        <w:t>质量</w:t>
      </w:r>
      <w:r>
        <w:rPr>
          <w:sz w:val="24"/>
          <w:lang w:eastAsia="zh-CN"/>
        </w:rPr>
        <w:t>责任，</w:t>
      </w:r>
      <w:r>
        <w:rPr>
          <w:rFonts w:hint="eastAsia"/>
          <w:sz w:val="24"/>
          <w:lang w:eastAsia="zh-CN"/>
        </w:rPr>
        <w:t>乙方</w:t>
      </w:r>
      <w:r>
        <w:rPr>
          <w:sz w:val="24"/>
          <w:lang w:eastAsia="zh-CN"/>
        </w:rPr>
        <w:t>仍需承担</w:t>
      </w:r>
      <w:r>
        <w:rPr>
          <w:rFonts w:hint="eastAsia"/>
          <w:sz w:val="24"/>
          <w:lang w:eastAsia="zh-CN"/>
        </w:rPr>
        <w:t>相应责任</w:t>
      </w:r>
      <w:r>
        <w:rPr>
          <w:sz w:val="24"/>
          <w:lang w:eastAsia="zh-CN"/>
        </w:rPr>
        <w:t>，如该货物给</w:t>
      </w:r>
      <w:r>
        <w:rPr>
          <w:rFonts w:hint="eastAsia"/>
          <w:sz w:val="24"/>
          <w:lang w:eastAsia="zh-CN"/>
        </w:rPr>
        <w:t>甲方</w:t>
      </w:r>
      <w:r>
        <w:rPr>
          <w:sz w:val="24"/>
          <w:lang w:eastAsia="zh-CN"/>
        </w:rPr>
        <w:t>或第三方造成损失的，</w:t>
      </w:r>
      <w:r>
        <w:rPr>
          <w:rFonts w:hint="eastAsia"/>
          <w:sz w:val="24"/>
          <w:lang w:eastAsia="zh-CN"/>
        </w:rPr>
        <w:t>乙方</w:t>
      </w:r>
      <w:r>
        <w:rPr>
          <w:sz w:val="24"/>
          <w:lang w:eastAsia="zh-CN"/>
        </w:rPr>
        <w:t>还应承担赔偿责任。</w:t>
      </w:r>
    </w:p>
    <w:p w14:paraId="109669C0">
      <w:pPr>
        <w:spacing w:line="360" w:lineRule="auto"/>
        <w:ind w:firstLine="241" w:firstLineChars="100"/>
        <w:rPr>
          <w:b/>
          <w:bCs/>
          <w:sz w:val="24"/>
          <w:lang w:eastAsia="zh-CN"/>
        </w:rPr>
      </w:pPr>
      <w:r>
        <w:rPr>
          <w:rFonts w:hint="eastAsia"/>
          <w:b/>
          <w:bCs/>
          <w:sz w:val="24"/>
          <w:lang w:eastAsia="zh-CN"/>
        </w:rPr>
        <w:t>第八条 违约责任</w:t>
      </w:r>
    </w:p>
    <w:p w14:paraId="3CD9E4BA">
      <w:pPr>
        <w:spacing w:line="360" w:lineRule="auto"/>
        <w:rPr>
          <w:bCs/>
          <w:sz w:val="24"/>
          <w:lang w:eastAsia="zh-CN"/>
        </w:rPr>
      </w:pPr>
      <w:r>
        <w:rPr>
          <w:rFonts w:hint="eastAsia"/>
          <w:sz w:val="24"/>
          <w:lang w:eastAsia="zh-CN"/>
        </w:rPr>
        <w:t xml:space="preserve">   8.1乙方逾期交货的，每日按照合同总额的</w:t>
      </w:r>
      <w:r>
        <w:rPr>
          <w:sz w:val="24"/>
          <w:u w:val="single"/>
          <w:lang w:eastAsia="zh-CN"/>
        </w:rPr>
        <w:t xml:space="preserve"> 0.</w:t>
      </w:r>
      <w:r>
        <w:rPr>
          <w:rFonts w:hint="eastAsia" w:asciiTheme="majorEastAsia" w:hAnsiTheme="majorEastAsia" w:eastAsiaTheme="majorEastAsia"/>
          <w:sz w:val="24"/>
          <w:u w:val="single"/>
          <w:lang w:eastAsia="zh-CN"/>
        </w:rPr>
        <w:t xml:space="preserve">1 </w:t>
      </w:r>
      <w:r>
        <w:rPr>
          <w:rFonts w:hint="eastAsia"/>
          <w:sz w:val="24"/>
          <w:lang w:eastAsia="zh-CN"/>
        </w:rPr>
        <w:t>%向甲方支付违约金，逾期超过</w:t>
      </w:r>
      <w:r>
        <w:rPr>
          <w:sz w:val="24"/>
          <w:u w:val="single"/>
          <w:lang w:eastAsia="zh-CN"/>
        </w:rPr>
        <w:t xml:space="preserve"> 3</w:t>
      </w:r>
      <w:r>
        <w:rPr>
          <w:rFonts w:hint="eastAsia"/>
          <w:sz w:val="24"/>
          <w:u w:val="single"/>
          <w:lang w:eastAsia="zh-CN"/>
        </w:rPr>
        <w:t>0</w:t>
      </w:r>
      <w:r>
        <w:rPr>
          <w:sz w:val="24"/>
          <w:u w:val="single"/>
          <w:lang w:eastAsia="zh-CN"/>
        </w:rPr>
        <w:t xml:space="preserve"> </w:t>
      </w:r>
      <w:r>
        <w:rPr>
          <w:rFonts w:hint="eastAsia"/>
          <w:sz w:val="24"/>
          <w:lang w:eastAsia="zh-CN"/>
        </w:rPr>
        <w:t>日的，甲方有权解除合同，并要求乙方一次性支付合同总额</w:t>
      </w:r>
      <w:r>
        <w:rPr>
          <w:sz w:val="24"/>
          <w:u w:val="single"/>
          <w:lang w:eastAsia="zh-CN"/>
        </w:rPr>
        <w:t xml:space="preserve"> </w:t>
      </w:r>
      <w:r>
        <w:rPr>
          <w:rFonts w:hint="eastAsia"/>
          <w:sz w:val="24"/>
          <w:u w:val="single"/>
          <w:lang w:eastAsia="zh-CN"/>
        </w:rPr>
        <w:t>20</w:t>
      </w:r>
      <w:r>
        <w:rPr>
          <w:sz w:val="24"/>
          <w:u w:val="single"/>
          <w:lang w:eastAsia="zh-CN"/>
        </w:rPr>
        <w:t xml:space="preserve"> </w:t>
      </w:r>
      <w:r>
        <w:rPr>
          <w:rFonts w:hint="eastAsia"/>
          <w:sz w:val="24"/>
          <w:lang w:eastAsia="zh-CN"/>
        </w:rPr>
        <w:t>%的违约金</w:t>
      </w:r>
      <w:r>
        <w:rPr>
          <w:rFonts w:hint="eastAsia"/>
          <w:szCs w:val="21"/>
          <w:lang w:eastAsia="zh-CN"/>
        </w:rPr>
        <w:t>，</w:t>
      </w:r>
      <w:r>
        <w:rPr>
          <w:rFonts w:hint="eastAsia"/>
          <w:bCs/>
          <w:szCs w:val="21"/>
          <w:lang w:eastAsia="zh-CN"/>
        </w:rPr>
        <w:t>如违约金不足以弥补甲方损失（包括但不限于甲方重新采购该货物所增加的费用），乙方还应对不足部分承担赔偿责任</w:t>
      </w:r>
      <w:r>
        <w:rPr>
          <w:rFonts w:hint="eastAsia"/>
          <w:bCs/>
          <w:sz w:val="24"/>
          <w:lang w:eastAsia="zh-CN"/>
        </w:rPr>
        <w:t>。乙方部分交货、交货部分或全部不合格的，均视为未交货，按照逾期交货处理。</w:t>
      </w:r>
    </w:p>
    <w:p w14:paraId="2D810687">
      <w:pPr>
        <w:spacing w:line="360" w:lineRule="auto"/>
        <w:rPr>
          <w:bCs/>
          <w:sz w:val="24"/>
          <w:lang w:eastAsia="zh-CN"/>
        </w:rPr>
      </w:pPr>
      <w:r>
        <w:rPr>
          <w:rFonts w:hint="eastAsia"/>
          <w:sz w:val="24"/>
          <w:lang w:eastAsia="zh-CN"/>
        </w:rPr>
        <w:t xml:space="preserve">   8.2 乙方交付的产品经甲方验收不合格的，应根据甲方要求进行修理、更换或退货。</w:t>
      </w:r>
      <w:r>
        <w:rPr>
          <w:rFonts w:hint="eastAsia"/>
          <w:bCs/>
          <w:sz w:val="24"/>
          <w:lang w:eastAsia="zh-CN"/>
        </w:rPr>
        <w:t>如甲方选择退货，即解除或部分解除合同的，乙方应退还所有甲方已付款项，甲方并有权要求乙方支付解除部分对应货值 20 %的违约金，如违约金不足以弥补甲方损失（包括但不限于甲方重新采购该货物所增加的费用），乙方还应对不足部分承担赔偿责任。</w:t>
      </w:r>
    </w:p>
    <w:p w14:paraId="38B2B1C1">
      <w:pPr>
        <w:spacing w:line="360" w:lineRule="auto"/>
        <w:ind w:left="669" w:leftChars="142" w:hanging="357" w:hangingChars="149"/>
        <w:rPr>
          <w:sz w:val="24"/>
          <w:lang w:eastAsia="zh-CN"/>
        </w:rPr>
      </w:pPr>
      <w:r>
        <w:rPr>
          <w:rFonts w:hint="eastAsia"/>
          <w:sz w:val="24"/>
          <w:lang w:eastAsia="zh-CN"/>
        </w:rPr>
        <w:t xml:space="preserve">8.3 </w:t>
      </w:r>
      <w:r>
        <w:rPr>
          <w:rFonts w:hint="eastAsia"/>
          <w:sz w:val="24"/>
        </w:rPr>
        <w:t>甲方无故逾期付款的，按照全国银行间同业拆借中心公布的</w:t>
      </w:r>
      <w:r>
        <w:rPr>
          <w:rFonts w:hint="eastAsia"/>
          <w:sz w:val="24"/>
          <w:lang w:val="en-US" w:eastAsia="zh-CN"/>
        </w:rPr>
        <w:t>一年期</w:t>
      </w:r>
      <w:r>
        <w:rPr>
          <w:rFonts w:hint="eastAsia"/>
          <w:sz w:val="24"/>
        </w:rPr>
        <w:t>贷款市场报价利率支付利息。</w:t>
      </w:r>
    </w:p>
    <w:p w14:paraId="5C627539">
      <w:pPr>
        <w:spacing w:line="360" w:lineRule="auto"/>
        <w:ind w:left="669" w:leftChars="142" w:hanging="357" w:hangingChars="149"/>
        <w:rPr>
          <w:sz w:val="24"/>
          <w:lang w:eastAsia="zh-CN"/>
        </w:rPr>
      </w:pPr>
      <w:r>
        <w:rPr>
          <w:rFonts w:hint="eastAsia"/>
          <w:sz w:val="24"/>
          <w:lang w:eastAsia="zh-CN"/>
        </w:rPr>
        <w:t>8.4 一方的违约行为给对方造成的损失超过本合同约定的违约金数额的，超出部分，违约方应予以赔偿。</w:t>
      </w:r>
    </w:p>
    <w:p w14:paraId="01235CEF">
      <w:pPr>
        <w:spacing w:line="360" w:lineRule="auto"/>
        <w:ind w:firstLine="120" w:firstLineChars="50"/>
        <w:rPr>
          <w:b/>
          <w:bCs/>
          <w:sz w:val="24"/>
          <w:lang w:eastAsia="zh-CN"/>
        </w:rPr>
      </w:pPr>
      <w:r>
        <w:rPr>
          <w:rFonts w:hint="eastAsia"/>
          <w:b/>
          <w:bCs/>
          <w:sz w:val="24"/>
          <w:lang w:eastAsia="zh-CN"/>
        </w:rPr>
        <w:t>第九条 法律的适用及争议解决方式</w:t>
      </w:r>
    </w:p>
    <w:p w14:paraId="4303B25F">
      <w:pPr>
        <w:spacing w:line="360" w:lineRule="auto"/>
        <w:ind w:firstLine="360" w:firstLineChars="150"/>
        <w:rPr>
          <w:sz w:val="24"/>
          <w:lang w:eastAsia="zh-CN"/>
        </w:rPr>
      </w:pPr>
      <w:r>
        <w:rPr>
          <w:rFonts w:hint="eastAsia"/>
          <w:sz w:val="24"/>
          <w:lang w:eastAsia="zh-CN"/>
        </w:rPr>
        <w:t>9.1、本合同的效力、解释及履行均适用中华人民共和国法律。</w:t>
      </w:r>
    </w:p>
    <w:p w14:paraId="4D3D2377">
      <w:pPr>
        <w:spacing w:line="360" w:lineRule="auto"/>
        <w:ind w:firstLine="360" w:firstLineChars="150"/>
        <w:rPr>
          <w:sz w:val="24"/>
          <w:lang w:eastAsia="zh-CN"/>
        </w:rPr>
      </w:pPr>
      <w:r>
        <w:rPr>
          <w:rFonts w:hint="eastAsia"/>
          <w:sz w:val="24"/>
          <w:lang w:eastAsia="zh-CN"/>
        </w:rPr>
        <w:t>9.2、因本合同履行过程中引起的任何争议，双方应及时友好协商解决。协商不成的，向甲方所在地的人民法院提起诉讼。</w:t>
      </w:r>
    </w:p>
    <w:p w14:paraId="2A1021A8">
      <w:pPr>
        <w:spacing w:line="360" w:lineRule="auto"/>
        <w:rPr>
          <w:sz w:val="24"/>
          <w:lang w:eastAsia="zh-CN"/>
        </w:rPr>
      </w:pPr>
      <w:r>
        <w:rPr>
          <w:rFonts w:hint="eastAsia"/>
          <w:b/>
          <w:bCs/>
          <w:sz w:val="24"/>
          <w:lang w:eastAsia="zh-CN"/>
        </w:rPr>
        <w:t>第十条 合同变更与解除</w:t>
      </w:r>
      <w:r>
        <w:rPr>
          <w:rFonts w:hint="eastAsia"/>
          <w:sz w:val="24"/>
          <w:lang w:eastAsia="zh-CN"/>
        </w:rPr>
        <w:t xml:space="preserve"> </w:t>
      </w:r>
    </w:p>
    <w:p w14:paraId="48C809F7">
      <w:pPr>
        <w:spacing w:line="360" w:lineRule="auto"/>
        <w:ind w:firstLine="360" w:firstLineChars="150"/>
        <w:rPr>
          <w:sz w:val="24"/>
          <w:lang w:eastAsia="zh-CN"/>
        </w:rPr>
      </w:pPr>
      <w:r>
        <w:rPr>
          <w:rFonts w:hint="eastAsia"/>
          <w:sz w:val="24"/>
          <w:lang w:eastAsia="zh-CN"/>
        </w:rPr>
        <w:t>除本合同另有约定或法律规定外，非经双方协商一致，任何一方均不得擅自变更或解除合同。合同变更或解除须采取书面形式。</w:t>
      </w:r>
    </w:p>
    <w:p w14:paraId="79E8C3E4">
      <w:pPr>
        <w:spacing w:line="360" w:lineRule="auto"/>
        <w:rPr>
          <w:b/>
          <w:bCs/>
          <w:sz w:val="24"/>
          <w:lang w:eastAsia="zh-CN"/>
        </w:rPr>
      </w:pPr>
      <w:r>
        <w:rPr>
          <w:rFonts w:hint="eastAsia"/>
          <w:b/>
          <w:bCs/>
          <w:sz w:val="24"/>
          <w:lang w:eastAsia="zh-CN"/>
        </w:rPr>
        <w:t>第十一条  通知</w:t>
      </w:r>
    </w:p>
    <w:p w14:paraId="450107FF">
      <w:pPr>
        <w:spacing w:line="360" w:lineRule="auto"/>
        <w:ind w:firstLine="480" w:firstLineChars="200"/>
        <w:rPr>
          <w:sz w:val="24"/>
          <w:lang w:eastAsia="zh-CN"/>
        </w:rPr>
      </w:pPr>
      <w:r>
        <w:rPr>
          <w:rFonts w:hint="eastAsia"/>
          <w:sz w:val="24"/>
          <w:lang w:eastAsia="zh-CN"/>
        </w:rPr>
        <w:t>双方重要文件往来应当以书面形式（含传真、电子邮件等）进行。如以特快专递方式送达至本合同所列地址，则：双方地址在同一个地市级行政区域内的，自特快专递寄出之日起算第3日即视为已有效送达（有证据证明对方已经提前签收除外）；双方地址不在同一个地市级行政区域内的，自特快专递寄出之日起算第5日即视为已有效送达（有证据证明对方已经提前签收除外）；双方应主动做好信函接收工作，无论信函是否被拒收、无人签收、他人签收等，均不影响有效送达的认定。如送达地址变更，变更方应第一时间通知另一方，否则，通知方按对方变更前地址寄出的，仍然视为有效送达，地址变更方对此无异议。</w:t>
      </w:r>
    </w:p>
    <w:p w14:paraId="23E1C698">
      <w:pPr>
        <w:numPr>
          <w:ilvl w:val="0"/>
          <w:numId w:val="1"/>
        </w:numPr>
        <w:autoSpaceDE/>
        <w:autoSpaceDN/>
        <w:spacing w:line="360" w:lineRule="auto"/>
        <w:jc w:val="both"/>
        <w:rPr>
          <w:sz w:val="24"/>
          <w:lang w:eastAsia="zh-CN"/>
        </w:rPr>
      </w:pPr>
      <w:r>
        <w:rPr>
          <w:rFonts w:hint="eastAsia"/>
          <w:sz w:val="24"/>
          <w:lang w:eastAsia="zh-CN"/>
        </w:rPr>
        <w:t>本合同一式四份，经双方签订后生效，甲方执三份、乙方执一份，具有同等效力。</w:t>
      </w:r>
    </w:p>
    <w:p w14:paraId="1624B9EB">
      <w:pPr>
        <w:pStyle w:val="5"/>
        <w:rPr>
          <w:sz w:val="24"/>
        </w:rPr>
      </w:pPr>
    </w:p>
    <w:p w14:paraId="05AAEDD5">
      <w:pPr>
        <w:pStyle w:val="5"/>
        <w:rPr>
          <w:sz w:val="24"/>
        </w:rPr>
      </w:pPr>
    </w:p>
    <w:p w14:paraId="792ADA6D">
      <w:pPr>
        <w:pStyle w:val="5"/>
        <w:rPr>
          <w:sz w:val="24"/>
        </w:rPr>
      </w:pPr>
    </w:p>
    <w:tbl>
      <w:tblPr>
        <w:tblStyle w:val="3"/>
        <w:tblW w:w="9260"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4724"/>
        <w:gridCol w:w="4536"/>
      </w:tblGrid>
      <w:tr w14:paraId="7AB3CF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4724" w:type="dxa"/>
            <w:vAlign w:val="center"/>
          </w:tcPr>
          <w:p w14:paraId="4B74DD7E">
            <w:pPr>
              <w:spacing w:line="360" w:lineRule="auto"/>
              <w:rPr>
                <w:b/>
                <w:bCs/>
                <w:sz w:val="24"/>
                <w:lang w:eastAsia="zh-CN"/>
              </w:rPr>
            </w:pPr>
            <w:r>
              <w:rPr>
                <w:rFonts w:hint="eastAsia"/>
                <w:b/>
                <w:bCs/>
                <w:sz w:val="24"/>
              </w:rPr>
              <w:t>甲方：翔鹭码头投资管理（漳州）有限公司</w:t>
            </w:r>
          </w:p>
        </w:tc>
        <w:tc>
          <w:tcPr>
            <w:tcW w:w="4536" w:type="dxa"/>
            <w:vAlign w:val="center"/>
          </w:tcPr>
          <w:p w14:paraId="01F9FBAA">
            <w:pPr>
              <w:keepNext w:val="0"/>
              <w:keepLines w:val="0"/>
              <w:pageBreakBefore w:val="0"/>
              <w:widowControl w:val="0"/>
              <w:kinsoku/>
              <w:wordWrap/>
              <w:overflowPunct/>
              <w:topLinePunct w:val="0"/>
              <w:autoSpaceDE w:val="0"/>
              <w:autoSpaceDN w:val="0"/>
              <w:bidi w:val="0"/>
              <w:adjustRightInd/>
              <w:snapToGrid/>
              <w:spacing w:line="480" w:lineRule="exact"/>
              <w:jc w:val="both"/>
              <w:textAlignment w:val="auto"/>
              <w:rPr>
                <w:b/>
                <w:bCs/>
                <w:sz w:val="24"/>
                <w:lang w:eastAsia="zh-CN"/>
              </w:rPr>
            </w:pPr>
            <w:r>
              <w:rPr>
                <w:rFonts w:hint="eastAsia"/>
                <w:b/>
                <w:bCs/>
                <w:sz w:val="24"/>
                <w:lang w:eastAsia="zh-CN"/>
              </w:rPr>
              <w:t>乙方：</w:t>
            </w:r>
            <w:r>
              <w:rPr>
                <w:b/>
                <w:bCs/>
                <w:sz w:val="24"/>
                <w:lang w:eastAsia="zh-CN"/>
              </w:rPr>
              <w:t xml:space="preserve"> </w:t>
            </w:r>
          </w:p>
        </w:tc>
      </w:tr>
      <w:tr w14:paraId="7F7461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4" w:hRule="atLeast"/>
          <w:jc w:val="center"/>
        </w:trPr>
        <w:tc>
          <w:tcPr>
            <w:tcW w:w="4724" w:type="dxa"/>
            <w:vAlign w:val="center"/>
          </w:tcPr>
          <w:p w14:paraId="2FF2B3BD">
            <w:pPr>
              <w:spacing w:line="360" w:lineRule="auto"/>
              <w:rPr>
                <w:sz w:val="24"/>
                <w:lang w:eastAsia="zh-CN"/>
              </w:rPr>
            </w:pPr>
            <w:r>
              <w:rPr>
                <w:rFonts w:hint="eastAsia" w:asciiTheme="minorEastAsia" w:hAnsiTheme="minorEastAsia" w:eastAsiaTheme="minorEastAsia" w:cstheme="minorEastAsia"/>
                <w:sz w:val="24"/>
              </w:rPr>
              <w:t>地址：福建省漳州市古雷港经济开发区腾龙路86号</w:t>
            </w:r>
          </w:p>
        </w:tc>
        <w:tc>
          <w:tcPr>
            <w:tcW w:w="4536" w:type="dxa"/>
            <w:vAlign w:val="center"/>
          </w:tcPr>
          <w:p w14:paraId="0B2EB22A">
            <w:pPr>
              <w:keepNext w:val="0"/>
              <w:keepLines w:val="0"/>
              <w:pageBreakBefore w:val="0"/>
              <w:widowControl w:val="0"/>
              <w:kinsoku/>
              <w:wordWrap/>
              <w:overflowPunct/>
              <w:topLinePunct w:val="0"/>
              <w:autoSpaceDE w:val="0"/>
              <w:autoSpaceDN w:val="0"/>
              <w:bidi w:val="0"/>
              <w:adjustRightInd/>
              <w:snapToGrid/>
              <w:spacing w:line="480" w:lineRule="exact"/>
              <w:jc w:val="both"/>
              <w:textAlignment w:val="auto"/>
              <w:rPr>
                <w:bCs/>
                <w:sz w:val="24"/>
                <w:lang w:eastAsia="zh-CN"/>
              </w:rPr>
            </w:pPr>
            <w:r>
              <w:rPr>
                <w:rFonts w:hint="eastAsia"/>
                <w:bCs/>
                <w:sz w:val="24"/>
                <w:lang w:eastAsia="zh-CN"/>
              </w:rPr>
              <w:t>地址：</w:t>
            </w:r>
          </w:p>
        </w:tc>
      </w:tr>
      <w:tr w14:paraId="4DF687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4724" w:type="dxa"/>
            <w:vAlign w:val="center"/>
          </w:tcPr>
          <w:p w14:paraId="57262A63">
            <w:pPr>
              <w:spacing w:line="360" w:lineRule="auto"/>
              <w:rPr>
                <w:sz w:val="24"/>
                <w:lang w:eastAsia="zh-CN"/>
              </w:rPr>
            </w:pPr>
            <w:r>
              <w:rPr>
                <w:rFonts w:hint="eastAsia" w:asciiTheme="minorEastAsia" w:hAnsiTheme="minorEastAsia" w:eastAsiaTheme="minorEastAsia" w:cstheme="minorEastAsia"/>
                <w:sz w:val="24"/>
              </w:rPr>
              <w:t>电话：0596-6311824</w:t>
            </w:r>
          </w:p>
        </w:tc>
        <w:tc>
          <w:tcPr>
            <w:tcW w:w="4536" w:type="dxa"/>
            <w:vAlign w:val="center"/>
          </w:tcPr>
          <w:p w14:paraId="1C75B330">
            <w:pPr>
              <w:keepNext w:val="0"/>
              <w:keepLines w:val="0"/>
              <w:pageBreakBefore w:val="0"/>
              <w:widowControl w:val="0"/>
              <w:kinsoku/>
              <w:wordWrap/>
              <w:overflowPunct/>
              <w:topLinePunct w:val="0"/>
              <w:autoSpaceDE w:val="0"/>
              <w:autoSpaceDN w:val="0"/>
              <w:bidi w:val="0"/>
              <w:adjustRightInd/>
              <w:snapToGrid/>
              <w:spacing w:line="480" w:lineRule="exact"/>
              <w:jc w:val="both"/>
              <w:textAlignment w:val="auto"/>
              <w:rPr>
                <w:bCs/>
                <w:sz w:val="24"/>
                <w:lang w:eastAsia="zh-CN"/>
              </w:rPr>
            </w:pPr>
            <w:r>
              <w:rPr>
                <w:rFonts w:hint="eastAsia"/>
                <w:bCs/>
                <w:sz w:val="24"/>
              </w:rPr>
              <w:t>电话：</w:t>
            </w:r>
          </w:p>
        </w:tc>
      </w:tr>
      <w:tr w14:paraId="6F5935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3" w:hRule="atLeast"/>
          <w:jc w:val="center"/>
        </w:trPr>
        <w:tc>
          <w:tcPr>
            <w:tcW w:w="4724" w:type="dxa"/>
            <w:vAlign w:val="center"/>
          </w:tcPr>
          <w:p w14:paraId="2FE5759C">
            <w:pPr>
              <w:spacing w:line="360" w:lineRule="auto"/>
              <w:rPr>
                <w:sz w:val="24"/>
              </w:rPr>
            </w:pPr>
            <w:r>
              <w:rPr>
                <w:rFonts w:hint="eastAsia" w:asciiTheme="minorEastAsia" w:hAnsiTheme="minorEastAsia" w:eastAsiaTheme="minorEastAsia" w:cstheme="minorEastAsia"/>
                <w:sz w:val="24"/>
              </w:rPr>
              <w:t>联系人：魏彦苹</w:t>
            </w:r>
          </w:p>
        </w:tc>
        <w:tc>
          <w:tcPr>
            <w:tcW w:w="4536" w:type="dxa"/>
            <w:vAlign w:val="center"/>
          </w:tcPr>
          <w:p w14:paraId="144FE949">
            <w:pPr>
              <w:keepNext w:val="0"/>
              <w:keepLines w:val="0"/>
              <w:pageBreakBefore w:val="0"/>
              <w:widowControl w:val="0"/>
              <w:kinsoku/>
              <w:wordWrap/>
              <w:overflowPunct/>
              <w:topLinePunct w:val="0"/>
              <w:autoSpaceDE w:val="0"/>
              <w:autoSpaceDN w:val="0"/>
              <w:bidi w:val="0"/>
              <w:adjustRightInd/>
              <w:snapToGrid/>
              <w:spacing w:line="480" w:lineRule="exact"/>
              <w:jc w:val="both"/>
              <w:textAlignment w:val="auto"/>
              <w:rPr>
                <w:bCs/>
                <w:sz w:val="24"/>
                <w:lang w:eastAsia="zh-CN"/>
              </w:rPr>
            </w:pPr>
            <w:r>
              <w:rPr>
                <w:rFonts w:hint="eastAsia"/>
                <w:bCs/>
                <w:sz w:val="24"/>
              </w:rPr>
              <w:t>联系人</w:t>
            </w:r>
            <w:r>
              <w:rPr>
                <w:rFonts w:hint="eastAsia"/>
                <w:bCs/>
                <w:sz w:val="24"/>
                <w:lang w:eastAsia="zh-CN"/>
              </w:rPr>
              <w:t>：</w:t>
            </w:r>
          </w:p>
        </w:tc>
      </w:tr>
      <w:tr w14:paraId="419D14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4724" w:type="dxa"/>
            <w:vAlign w:val="center"/>
          </w:tcPr>
          <w:p w14:paraId="324397AB">
            <w:pPr>
              <w:spacing w:line="360" w:lineRule="auto"/>
              <w:rPr>
                <w:sz w:val="24"/>
                <w:lang w:eastAsia="zh-CN"/>
              </w:rPr>
            </w:pPr>
            <w:r>
              <w:rPr>
                <w:rFonts w:hint="eastAsia" w:asciiTheme="minorEastAsia" w:hAnsiTheme="minorEastAsia" w:eastAsiaTheme="minorEastAsia" w:cstheme="minorEastAsia"/>
                <w:sz w:val="24"/>
              </w:rPr>
              <w:t>开户银行：中国银行漳浦支行</w:t>
            </w:r>
          </w:p>
        </w:tc>
        <w:tc>
          <w:tcPr>
            <w:tcW w:w="4536" w:type="dxa"/>
            <w:vAlign w:val="center"/>
          </w:tcPr>
          <w:p w14:paraId="11BC0F3A">
            <w:pPr>
              <w:keepNext w:val="0"/>
              <w:keepLines w:val="0"/>
              <w:pageBreakBefore w:val="0"/>
              <w:widowControl w:val="0"/>
              <w:kinsoku/>
              <w:wordWrap/>
              <w:overflowPunct/>
              <w:topLinePunct w:val="0"/>
              <w:autoSpaceDE w:val="0"/>
              <w:autoSpaceDN w:val="0"/>
              <w:bidi w:val="0"/>
              <w:adjustRightInd/>
              <w:snapToGrid/>
              <w:spacing w:line="480" w:lineRule="exact"/>
              <w:jc w:val="both"/>
              <w:textAlignment w:val="auto"/>
              <w:rPr>
                <w:bCs/>
                <w:sz w:val="24"/>
                <w:lang w:eastAsia="zh-CN"/>
              </w:rPr>
            </w:pPr>
            <w:r>
              <w:rPr>
                <w:rFonts w:hint="eastAsia"/>
                <w:bCs/>
                <w:sz w:val="24"/>
                <w:lang w:eastAsia="zh-CN"/>
              </w:rPr>
              <w:t>开户银行：</w:t>
            </w:r>
          </w:p>
        </w:tc>
      </w:tr>
      <w:tr w14:paraId="1D2684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4724" w:type="dxa"/>
            <w:vAlign w:val="center"/>
          </w:tcPr>
          <w:p w14:paraId="56204062">
            <w:pPr>
              <w:spacing w:line="360" w:lineRule="auto"/>
              <w:rPr>
                <w:sz w:val="24"/>
              </w:rPr>
            </w:pPr>
            <w:r>
              <w:rPr>
                <w:rFonts w:hint="eastAsia" w:asciiTheme="minorEastAsia" w:hAnsiTheme="minorEastAsia" w:eastAsiaTheme="minorEastAsia" w:cstheme="minorEastAsia"/>
                <w:sz w:val="24"/>
              </w:rPr>
              <w:t>账号：423467650735</w:t>
            </w:r>
          </w:p>
        </w:tc>
        <w:tc>
          <w:tcPr>
            <w:tcW w:w="4536" w:type="dxa"/>
            <w:vAlign w:val="center"/>
          </w:tcPr>
          <w:p w14:paraId="74668B26">
            <w:pPr>
              <w:keepNext w:val="0"/>
              <w:keepLines w:val="0"/>
              <w:pageBreakBefore w:val="0"/>
              <w:widowControl w:val="0"/>
              <w:kinsoku/>
              <w:wordWrap/>
              <w:overflowPunct/>
              <w:topLinePunct w:val="0"/>
              <w:autoSpaceDE w:val="0"/>
              <w:autoSpaceDN w:val="0"/>
              <w:bidi w:val="0"/>
              <w:adjustRightInd/>
              <w:snapToGrid/>
              <w:spacing w:line="480" w:lineRule="exact"/>
              <w:jc w:val="both"/>
              <w:textAlignment w:val="auto"/>
              <w:rPr>
                <w:bCs/>
                <w:sz w:val="24"/>
              </w:rPr>
            </w:pPr>
            <w:r>
              <w:rPr>
                <w:rFonts w:hint="eastAsia"/>
                <w:bCs/>
                <w:sz w:val="24"/>
              </w:rPr>
              <w:t>账号：</w:t>
            </w:r>
          </w:p>
        </w:tc>
      </w:tr>
      <w:tr w14:paraId="6D2D19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 w:hRule="atLeast"/>
          <w:jc w:val="center"/>
        </w:trPr>
        <w:tc>
          <w:tcPr>
            <w:tcW w:w="4724" w:type="dxa"/>
            <w:vAlign w:val="center"/>
          </w:tcPr>
          <w:p w14:paraId="781E2E1B">
            <w:pPr>
              <w:spacing w:line="360" w:lineRule="auto"/>
              <w:rPr>
                <w:sz w:val="24"/>
              </w:rPr>
            </w:pPr>
            <w:r>
              <w:rPr>
                <w:rFonts w:hint="eastAsia" w:asciiTheme="minorEastAsia" w:hAnsiTheme="minorEastAsia" w:eastAsiaTheme="minorEastAsia" w:cstheme="minorEastAsia"/>
                <w:sz w:val="24"/>
              </w:rPr>
              <w:t>税号：91350623098275001C</w:t>
            </w:r>
          </w:p>
        </w:tc>
        <w:tc>
          <w:tcPr>
            <w:tcW w:w="4536" w:type="dxa"/>
            <w:vAlign w:val="center"/>
          </w:tcPr>
          <w:p w14:paraId="02A669EB">
            <w:pPr>
              <w:keepNext w:val="0"/>
              <w:keepLines w:val="0"/>
              <w:pageBreakBefore w:val="0"/>
              <w:widowControl w:val="0"/>
              <w:kinsoku/>
              <w:wordWrap/>
              <w:overflowPunct/>
              <w:topLinePunct w:val="0"/>
              <w:autoSpaceDE w:val="0"/>
              <w:autoSpaceDN w:val="0"/>
              <w:bidi w:val="0"/>
              <w:adjustRightInd/>
              <w:snapToGrid/>
              <w:spacing w:line="480" w:lineRule="exact"/>
              <w:jc w:val="both"/>
              <w:textAlignment w:val="auto"/>
              <w:rPr>
                <w:bCs/>
                <w:sz w:val="24"/>
              </w:rPr>
            </w:pPr>
            <w:r>
              <w:rPr>
                <w:rFonts w:hint="eastAsia"/>
                <w:bCs/>
                <w:sz w:val="24"/>
              </w:rPr>
              <w:t>税号：</w:t>
            </w:r>
          </w:p>
        </w:tc>
      </w:tr>
    </w:tbl>
    <w:p w14:paraId="491C7658"/>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S Gothic">
    <w:panose1 w:val="020B0609070205080204"/>
    <w:charset w:val="80"/>
    <w:family w:val="modern"/>
    <w:pitch w:val="default"/>
    <w:sig w:usb0="E00002FF" w:usb1="6AC7FDFB" w:usb2="08000012" w:usb3="00000000" w:csb0="4002009F" w:csb1="DFD7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63BE1E44"/>
    <w:multiLevelType w:val="singleLevel"/>
    <w:tmpl w:val="63BE1E44"/>
    <w:lvl w:ilvl="0" w:tentative="0">
      <w:start w:val="12"/>
      <w:numFmt w:val="chineseCounting"/>
      <w:suff w:val="space"/>
      <w:lvlText w:val="第%1条"/>
      <w:lvlJc w:val="left"/>
    </w:lvl>
  </w:abstractNum>
  <w:num w:numId="1">
    <w:abstractNumId w:val="0"/>
  </w:num>
</w:numbering>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